
<file path=[Content_Types].xml><?xml version="1.0" encoding="utf-8"?>
<Types xmlns="http://schemas.openxmlformats.org/package/2006/content-types">
  <Default Extension="xml" ContentType="application/xml"/>
  <Default Extension="jpeg" ContentType="image/jpe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widowControl/>
        <w:spacing w:beforeLines="50" w:afterLines="50"/>
        <w:ind w:left="630" w:leftChars="300" w:right="315" w:rightChars="150"/>
        <w:jc w:val="center"/>
        <w:rPr>
          <w:rFonts w:ascii="隶书" w:eastAsia="隶书"/>
          <w:b/>
          <w:color w:val="000080"/>
          <w:kern w:val="0"/>
          <w:sz w:val="96"/>
          <w:szCs w:val="96"/>
        </w:rPr>
      </w:pPr>
      <w:r>
        <w:rPr>
          <w:rFonts w:hint="eastAsia" w:ascii="隶书" w:eastAsia="隶书"/>
          <w:b/>
          <w:color w:val="000080"/>
          <w:kern w:val="0"/>
          <w:sz w:val="96"/>
          <w:szCs w:val="96"/>
        </w:rPr>
        <w:t>湘西自治州</w:t>
      </w:r>
    </w:p>
    <w:p>
      <w:pPr>
        <w:widowControl/>
        <w:spacing w:beforeLines="50" w:afterLines="50" w:line="1560" w:lineRule="exact"/>
        <w:ind w:left="630" w:leftChars="300" w:right="315" w:rightChars="150"/>
        <w:jc w:val="center"/>
        <w:rPr>
          <w:rFonts w:ascii="隶书" w:eastAsia="隶书"/>
          <w:b/>
          <w:color w:val="000080"/>
          <w:kern w:val="0"/>
          <w:sz w:val="144"/>
          <w:szCs w:val="144"/>
        </w:rPr>
      </w:pPr>
      <w:r>
        <w:rPr>
          <w:rFonts w:hint="eastAsia" w:ascii="隶书" w:eastAsia="隶书"/>
          <w:b/>
          <w:color w:val="000080"/>
          <w:kern w:val="0"/>
          <w:sz w:val="144"/>
          <w:szCs w:val="144"/>
        </w:rPr>
        <w:t>水资源公报</w:t>
      </w:r>
    </w:p>
    <w:p>
      <w:pPr>
        <w:widowControl/>
        <w:spacing w:beforeLines="50" w:afterLines="50" w:line="420" w:lineRule="exact"/>
        <w:ind w:left="630" w:leftChars="300" w:right="315" w:rightChars="150"/>
        <w:jc w:val="center"/>
        <w:rPr>
          <w:rFonts w:ascii="隶书" w:eastAsia="隶书"/>
          <w:b/>
          <w:color w:val="000080"/>
          <w:kern w:val="0"/>
          <w:sz w:val="44"/>
          <w:szCs w:val="44"/>
        </w:rPr>
      </w:pPr>
      <w:r>
        <w:rPr>
          <w:rFonts w:hint="eastAsia" w:ascii="隶书" w:eastAsia="隶书"/>
          <w:b/>
          <w:color w:val="000080"/>
          <w:kern w:val="0"/>
          <w:sz w:val="44"/>
          <w:szCs w:val="44"/>
        </w:rPr>
        <w:t>XIANGXI WATER RESOURCES BULLETIN</w:t>
      </w:r>
    </w:p>
    <w:p/>
    <w:p>
      <w:pPr>
        <w:spacing w:before="50" w:after="50"/>
        <w:jc w:val="center"/>
        <w:rPr>
          <w:color w:val="FF0000"/>
          <w:sz w:val="32"/>
          <w:szCs w:val="32"/>
        </w:rPr>
      </w:pPr>
    </w:p>
    <w:p>
      <w:pPr>
        <w:spacing w:before="50" w:after="50"/>
        <w:jc w:val="center"/>
        <w:rPr>
          <w:color w:val="FF0000"/>
          <w:sz w:val="32"/>
          <w:szCs w:val="32"/>
        </w:rPr>
      </w:pPr>
    </w:p>
    <w:p>
      <w:pPr>
        <w:tabs>
          <w:tab w:val="left" w:pos="5660"/>
        </w:tabs>
        <w:spacing w:before="50" w:after="50"/>
        <w:jc w:val="left"/>
        <w:rPr>
          <w:color w:val="FF0000"/>
          <w:sz w:val="32"/>
          <w:szCs w:val="32"/>
        </w:rPr>
      </w:pPr>
      <w:r>
        <w:rPr>
          <w:color w:val="FF0000"/>
          <w:sz w:val="32"/>
          <w:szCs w:val="32"/>
        </w:rPr>
        <w:tab/>
      </w:r>
    </w:p>
    <w:p>
      <w:pPr>
        <w:spacing w:before="50" w:after="50"/>
        <w:jc w:val="center"/>
        <w:rPr>
          <w:color w:val="FF0000"/>
          <w:sz w:val="32"/>
          <w:szCs w:val="32"/>
        </w:rPr>
      </w:pPr>
    </w:p>
    <w:p>
      <w:pPr>
        <w:spacing w:before="50" w:after="50"/>
        <w:jc w:val="center"/>
        <w:rPr>
          <w:color w:val="FF0000"/>
          <w:sz w:val="32"/>
          <w:szCs w:val="32"/>
        </w:rPr>
      </w:pPr>
    </w:p>
    <w:p>
      <w:pPr>
        <w:spacing w:before="50" w:after="50"/>
        <w:jc w:val="center"/>
        <w:rPr>
          <w:color w:val="FF0000"/>
          <w:sz w:val="32"/>
          <w:szCs w:val="32"/>
        </w:rPr>
      </w:pPr>
    </w:p>
    <w:p>
      <w:pPr>
        <w:spacing w:before="50" w:after="50"/>
        <w:jc w:val="center"/>
        <w:rPr>
          <w:color w:val="FF0000"/>
          <w:sz w:val="32"/>
          <w:szCs w:val="32"/>
        </w:rPr>
      </w:pPr>
    </w:p>
    <w:p>
      <w:pPr>
        <w:spacing w:before="50" w:after="50"/>
        <w:jc w:val="right"/>
        <w:rPr>
          <w:color w:val="FF0000"/>
          <w:sz w:val="32"/>
          <w:szCs w:val="32"/>
        </w:rPr>
      </w:pPr>
    </w:p>
    <w:p>
      <w:pPr>
        <w:spacing w:before="50" w:after="50"/>
        <w:jc w:val="center"/>
        <w:rPr>
          <w:color w:val="FF0000"/>
          <w:sz w:val="32"/>
          <w:szCs w:val="32"/>
        </w:rPr>
      </w:pPr>
    </w:p>
    <w:p>
      <w:pPr>
        <w:pStyle w:val="9"/>
      </w:pPr>
      <w:r>
        <w:rPr>
          <w:rFonts w:hint="eastAsia"/>
        </w:rPr>
        <w:t>湘西土家族苗族自治州水利局</w:t>
      </w:r>
    </w:p>
    <w:p>
      <w:pPr>
        <w:pStyle w:val="9"/>
      </w:pPr>
      <w:r>
        <w:rPr>
          <w:rFonts w:hint="eastAsia"/>
        </w:rPr>
        <w:t>2</w:t>
      </w:r>
      <w:r>
        <w:t>020</w:t>
      </w:r>
      <w:r>
        <w:rPr>
          <w:rFonts w:hint="eastAsia"/>
        </w:rPr>
        <w:t>年</w:t>
      </w:r>
    </w:p>
    <w:p/>
    <w:p/>
    <w:p/>
    <w:p/>
    <w:p>
      <w:pPr>
        <w:widowControl/>
        <w:spacing w:beforeLines="50" w:afterLines="50" w:line="360" w:lineRule="auto"/>
        <w:ind w:left="630" w:leftChars="300" w:right="315" w:rightChars="150"/>
        <w:jc w:val="center"/>
        <w:rPr>
          <w:rFonts w:ascii="隶书" w:eastAsia="隶书"/>
          <w:b/>
          <w:color w:val="000080"/>
          <w:kern w:val="0"/>
          <w:sz w:val="96"/>
          <w:szCs w:val="96"/>
        </w:rPr>
      </w:pPr>
      <w:r>
        <w:rPr>
          <w:rFonts w:hint="eastAsia" w:ascii="隶书" w:eastAsia="隶书"/>
          <w:b/>
          <w:color w:val="000080"/>
          <w:kern w:val="0"/>
          <w:sz w:val="96"/>
          <w:szCs w:val="96"/>
        </w:rPr>
        <w:t>湘西自治州</w:t>
      </w:r>
    </w:p>
    <w:p>
      <w:pPr>
        <w:widowControl/>
        <w:spacing w:beforeLines="50" w:afterLines="50" w:line="1560" w:lineRule="exact"/>
        <w:ind w:left="630" w:leftChars="300" w:right="315" w:rightChars="150"/>
        <w:jc w:val="center"/>
        <w:rPr>
          <w:rFonts w:ascii="隶书" w:eastAsia="隶书"/>
          <w:b/>
          <w:color w:val="000080"/>
          <w:kern w:val="0"/>
          <w:sz w:val="144"/>
          <w:szCs w:val="144"/>
        </w:rPr>
      </w:pPr>
      <w:r>
        <w:rPr>
          <w:rFonts w:hint="eastAsia" w:ascii="隶书" w:eastAsia="隶书"/>
          <w:b/>
          <w:color w:val="000080"/>
          <w:kern w:val="0"/>
          <w:sz w:val="144"/>
          <w:szCs w:val="144"/>
        </w:rPr>
        <w:t>水资源公报</w:t>
      </w:r>
    </w:p>
    <w:p>
      <w:pPr>
        <w:widowControl/>
        <w:spacing w:beforeLines="50" w:afterLines="50" w:line="420" w:lineRule="exact"/>
        <w:ind w:left="630" w:leftChars="300" w:right="315" w:rightChars="150"/>
        <w:jc w:val="center"/>
        <w:rPr>
          <w:rFonts w:ascii="隶书" w:eastAsia="隶书"/>
          <w:b/>
          <w:color w:val="000080"/>
          <w:kern w:val="0"/>
          <w:sz w:val="44"/>
          <w:szCs w:val="44"/>
        </w:rPr>
      </w:pPr>
      <w:r>
        <w:rPr>
          <w:rFonts w:hint="eastAsia" w:ascii="隶书" w:eastAsia="隶书"/>
          <w:b/>
          <w:color w:val="000080"/>
          <w:kern w:val="0"/>
          <w:sz w:val="44"/>
          <w:szCs w:val="44"/>
        </w:rPr>
        <w:t>XIANGXI WATER RESOURCES BULLETIN</w:t>
      </w:r>
    </w:p>
    <w:p>
      <w:pPr>
        <w:widowControl/>
        <w:spacing w:beforeLines="50" w:afterLines="50" w:line="420" w:lineRule="exact"/>
        <w:ind w:left="630" w:leftChars="300" w:right="315" w:rightChars="150"/>
        <w:jc w:val="center"/>
        <w:rPr>
          <w:rFonts w:ascii="隶书" w:eastAsia="隶书"/>
          <w:b/>
          <w:color w:val="000080"/>
          <w:kern w:val="0"/>
          <w:sz w:val="44"/>
          <w:szCs w:val="44"/>
        </w:rPr>
      </w:pPr>
    </w:p>
    <w:p>
      <w:pPr>
        <w:pStyle w:val="9"/>
      </w:pPr>
      <w:r>
        <w:rPr>
          <w:rFonts w:hint="eastAsia"/>
        </w:rPr>
        <w:t>20</w:t>
      </w:r>
      <w:r>
        <w:t>20</w:t>
      </w:r>
    </w:p>
    <w:p>
      <w:pPr>
        <w:pStyle w:val="9"/>
      </w:pPr>
      <w:r>
        <w:rPr>
          <w:rFonts w:hint="eastAsia"/>
        </w:rPr>
        <w:t>（总第</w:t>
      </w:r>
      <w:r>
        <w:t>10</w:t>
      </w:r>
      <w:r>
        <w:rPr>
          <w:rFonts w:hint="eastAsia"/>
        </w:rPr>
        <w:t>期）</w:t>
      </w:r>
    </w:p>
    <w:p>
      <w:pPr>
        <w:spacing w:before="50" w:after="50"/>
        <w:jc w:val="center"/>
        <w:rPr>
          <w:color w:val="FF0000"/>
          <w:sz w:val="32"/>
          <w:szCs w:val="32"/>
        </w:rPr>
      </w:pPr>
    </w:p>
    <w:p>
      <w:pPr>
        <w:spacing w:before="50" w:after="50"/>
        <w:jc w:val="center"/>
        <w:rPr>
          <w:color w:val="FF0000"/>
          <w:sz w:val="32"/>
          <w:szCs w:val="32"/>
        </w:rPr>
      </w:pPr>
    </w:p>
    <w:p>
      <w:pPr>
        <w:spacing w:before="50" w:after="50"/>
        <w:jc w:val="center"/>
        <w:rPr>
          <w:color w:val="FF0000"/>
          <w:sz w:val="32"/>
          <w:szCs w:val="32"/>
        </w:rPr>
      </w:pPr>
    </w:p>
    <w:p>
      <w:pPr>
        <w:spacing w:before="50" w:after="50"/>
        <w:jc w:val="center"/>
        <w:rPr>
          <w:color w:val="FF0000"/>
          <w:sz w:val="32"/>
          <w:szCs w:val="32"/>
        </w:rPr>
      </w:pPr>
    </w:p>
    <w:p>
      <w:pPr>
        <w:spacing w:before="50" w:after="50"/>
        <w:jc w:val="center"/>
        <w:rPr>
          <w:color w:val="FF0000"/>
          <w:sz w:val="32"/>
          <w:szCs w:val="32"/>
        </w:rPr>
      </w:pPr>
    </w:p>
    <w:p>
      <w:pPr>
        <w:spacing w:before="50" w:after="50"/>
        <w:jc w:val="center"/>
        <w:rPr>
          <w:color w:val="FF0000"/>
          <w:sz w:val="32"/>
          <w:szCs w:val="32"/>
        </w:rPr>
      </w:pPr>
    </w:p>
    <w:p>
      <w:pPr>
        <w:pStyle w:val="9"/>
      </w:pPr>
      <w:r>
        <w:rPr>
          <w:rFonts w:hint="eastAsia"/>
        </w:rPr>
        <w:t>湘西土家族苗族自治州水利局</w:t>
      </w:r>
    </w:p>
    <w:p>
      <w:pPr>
        <w:jc w:val="center"/>
        <w:rPr>
          <w:rFonts w:ascii="Times New Roman" w:hAnsi="Times New Roman"/>
          <w:b/>
          <w:bCs/>
          <w:caps/>
          <w:color w:val="000080"/>
          <w:sz w:val="44"/>
          <w:szCs w:val="44"/>
        </w:rPr>
      </w:pPr>
      <w:r>
        <w:rPr>
          <w:rFonts w:hint="eastAsia" w:ascii="Times New Roman" w:hAnsi="Times New Roman"/>
          <w:b/>
          <w:bCs/>
          <w:caps/>
          <w:color w:val="000080"/>
          <w:sz w:val="44"/>
          <w:szCs w:val="44"/>
        </w:rPr>
        <w:t>二零二一年十一月</w:t>
      </w:r>
    </w:p>
    <w:p>
      <w:pPr>
        <w:jc w:val="center"/>
        <w:rPr>
          <w:sz w:val="44"/>
          <w:szCs w:val="44"/>
        </w:rPr>
      </w:pPr>
    </w:p>
    <w:p>
      <w:pPr>
        <w:jc w:val="center"/>
        <w:rPr>
          <w:sz w:val="44"/>
          <w:szCs w:val="44"/>
        </w:rPr>
      </w:pPr>
    </w:p>
    <w:p>
      <w:pPr>
        <w:widowControl/>
        <w:jc w:val="left"/>
        <w:rPr>
          <w:sz w:val="44"/>
          <w:szCs w:val="44"/>
        </w:rPr>
        <w:sectPr>
          <w:footerReference r:id="rId3" w:type="default"/>
          <w:pgSz w:w="11906" w:h="16838"/>
          <w:pgMar w:top="2269" w:right="1800" w:bottom="1440" w:left="1800" w:header="851" w:footer="992" w:gutter="0"/>
          <w:cols w:space="425" w:num="1"/>
          <w:docGrid w:type="lines" w:linePitch="312" w:charSpace="0"/>
        </w:sectPr>
      </w:pPr>
      <w:r>
        <w:rPr>
          <w:sz w:val="44"/>
          <w:szCs w:val="44"/>
        </w:rPr>
        <w:br w:type="page"/>
      </w:r>
    </w:p>
    <w:p>
      <w:pPr>
        <w:jc w:val="center"/>
        <w:rPr>
          <w:b/>
          <w:bCs/>
          <w:sz w:val="44"/>
          <w:szCs w:val="44"/>
        </w:rPr>
      </w:pPr>
    </w:p>
    <w:sdt>
      <w:sdtPr>
        <w:rPr>
          <w:rFonts w:ascii="宋体" w:hAnsi="宋体" w:eastAsia="宋体" w:cs="Times New Roman"/>
          <w:color w:val="000000"/>
          <w:kern w:val="2"/>
          <w:sz w:val="21"/>
          <w:szCs w:val="21"/>
          <w:lang w:val="zh-CN"/>
        </w:rPr>
        <w:id w:val="-2140101984"/>
        <w:docPartObj>
          <w:docPartGallery w:val="Table of Contents"/>
          <w:docPartUnique/>
        </w:docPartObj>
      </w:sdtPr>
      <w:sdtEndPr>
        <w:rPr>
          <w:rFonts w:ascii="宋体" w:hAnsi="宋体" w:eastAsia="宋体" w:cs="Times New Roman"/>
          <w:b/>
          <w:bCs/>
          <w:color w:val="000000"/>
          <w:kern w:val="2"/>
          <w:sz w:val="21"/>
          <w:szCs w:val="21"/>
          <w:lang w:val="zh-CN"/>
        </w:rPr>
      </w:sdtEndPr>
      <w:sdtContent>
        <w:p>
          <w:pPr>
            <w:pStyle w:val="18"/>
            <w:jc w:val="center"/>
            <w:rPr>
              <w:rFonts w:ascii="宋体" w:hAnsi="宋体" w:eastAsia="宋体"/>
              <w:b/>
              <w:bCs/>
              <w:sz w:val="52"/>
              <w:szCs w:val="52"/>
            </w:rPr>
          </w:pPr>
          <w:r>
            <w:rPr>
              <w:rFonts w:ascii="宋体" w:hAnsi="宋体" w:eastAsia="宋体"/>
              <w:b/>
              <w:bCs/>
              <w:sz w:val="52"/>
              <w:szCs w:val="52"/>
              <w:lang w:val="zh-CN"/>
            </w:rPr>
            <w:t>目  录</w:t>
          </w:r>
        </w:p>
        <w:p>
          <w:pPr>
            <w:pStyle w:val="9"/>
            <w:rPr>
              <w:rFonts w:asciiTheme="minorHAnsi" w:hAnsiTheme="minorHAnsi" w:eastAsiaTheme="minorEastAsia" w:cstheme="minorBidi"/>
              <w:b w:val="0"/>
              <w:bCs w:val="0"/>
              <w:caps w:val="0"/>
              <w:color w:val="auto"/>
              <w:sz w:val="21"/>
              <w:szCs w:val="22"/>
            </w:rPr>
          </w:pPr>
          <w:r>
            <w:fldChar w:fldCharType="begin"/>
          </w:r>
          <w:r>
            <w:instrText xml:space="preserve"> TOC \o "1-3" \h \z \u </w:instrText>
          </w:r>
          <w:r>
            <w:fldChar w:fldCharType="separate"/>
          </w:r>
          <w:r>
            <w:fldChar w:fldCharType="begin"/>
          </w:r>
          <w:r>
            <w:instrText xml:space="preserve"> HYPERLINK \l "_Toc90247717" </w:instrText>
          </w:r>
          <w:r>
            <w:fldChar w:fldCharType="separate"/>
          </w:r>
          <w:r>
            <w:rPr>
              <w:rStyle w:val="13"/>
              <w:rFonts w:hint="eastAsia"/>
            </w:rPr>
            <w:t>综</w:t>
          </w:r>
          <w:r>
            <w:rPr>
              <w:rStyle w:val="13"/>
            </w:rPr>
            <w:t xml:space="preserve">  </w:t>
          </w:r>
          <w:r>
            <w:rPr>
              <w:rStyle w:val="13"/>
              <w:rFonts w:hint="eastAsia"/>
            </w:rPr>
            <w:t>述</w:t>
          </w:r>
          <w:r>
            <w:tab/>
          </w:r>
          <w:r>
            <w:fldChar w:fldCharType="begin"/>
          </w:r>
          <w:r>
            <w:instrText xml:space="preserve"> PAGEREF _Toc90247717 \h </w:instrText>
          </w:r>
          <w:r>
            <w:fldChar w:fldCharType="separate"/>
          </w:r>
          <w:r>
            <w:t>1</w:t>
          </w:r>
          <w:r>
            <w:fldChar w:fldCharType="end"/>
          </w:r>
          <w:r>
            <w:fldChar w:fldCharType="end"/>
          </w:r>
        </w:p>
        <w:p>
          <w:pPr>
            <w:pStyle w:val="9"/>
            <w:rPr>
              <w:rStyle w:val="13"/>
            </w:rPr>
          </w:pPr>
          <w:r>
            <w:fldChar w:fldCharType="begin"/>
          </w:r>
          <w:r>
            <w:instrText xml:space="preserve"> HYPERLINK \l "_Toc90247718" </w:instrText>
          </w:r>
          <w:r>
            <w:fldChar w:fldCharType="separate"/>
          </w:r>
          <w:r>
            <w:rPr>
              <w:rStyle w:val="13"/>
              <w:rFonts w:hint="eastAsia"/>
            </w:rPr>
            <w:t>一</w:t>
          </w:r>
          <w:r>
            <w:rPr>
              <w:rStyle w:val="13"/>
              <w:rFonts w:hint="eastAsia" w:ascii="黑体" w:eastAsia="黑体"/>
              <w:kern w:val="32"/>
            </w:rPr>
            <w:t>、水资源量</w:t>
          </w:r>
          <w:r>
            <w:tab/>
          </w:r>
          <w:r>
            <w:fldChar w:fldCharType="begin"/>
          </w:r>
          <w:r>
            <w:instrText xml:space="preserve"> PAGEREF _Toc90247718 \h </w:instrText>
          </w:r>
          <w:r>
            <w:fldChar w:fldCharType="separate"/>
          </w:r>
          <w:r>
            <w:t>2</w:t>
          </w:r>
          <w:r>
            <w:fldChar w:fldCharType="end"/>
          </w:r>
          <w:r>
            <w:fldChar w:fldCharType="end"/>
          </w:r>
        </w:p>
        <w:p>
          <w:r>
            <w:t xml:space="preserve">         （一）降水</w:t>
          </w:r>
        </w:p>
        <w:p>
          <w:r>
            <w:t xml:space="preserve">         （二）地表水资源量</w:t>
          </w:r>
        </w:p>
        <w:p>
          <w:r>
            <w:t xml:space="preserve">         （三）地下水资源量</w:t>
          </w:r>
        </w:p>
        <w:p>
          <w:r>
            <w:t xml:space="preserve">         （四）水资源总量</w:t>
          </w:r>
        </w:p>
        <w:p>
          <w:r>
            <w:t xml:space="preserve">         （五）出入境水量</w:t>
          </w:r>
        </w:p>
        <w:p>
          <w:pPr>
            <w:pStyle w:val="9"/>
            <w:rPr>
              <w:rFonts w:asciiTheme="minorHAnsi" w:hAnsiTheme="minorHAnsi" w:eastAsiaTheme="minorEastAsia" w:cstheme="minorBidi"/>
              <w:b w:val="0"/>
              <w:bCs w:val="0"/>
              <w:caps w:val="0"/>
              <w:color w:val="auto"/>
              <w:sz w:val="21"/>
              <w:szCs w:val="22"/>
            </w:rPr>
          </w:pPr>
          <w:r>
            <w:fldChar w:fldCharType="begin"/>
          </w:r>
          <w:r>
            <w:instrText xml:space="preserve"> HYPERLINK \l "_Toc90247719" </w:instrText>
          </w:r>
          <w:r>
            <w:fldChar w:fldCharType="separate"/>
          </w:r>
          <w:r>
            <w:rPr>
              <w:rStyle w:val="13"/>
              <w:rFonts w:hint="eastAsia" w:ascii="黑体" w:eastAsia="黑体"/>
              <w:kern w:val="32"/>
            </w:rPr>
            <w:t>二、蓄水动态</w:t>
          </w:r>
          <w:r>
            <w:tab/>
          </w:r>
          <w:r>
            <w:fldChar w:fldCharType="begin"/>
          </w:r>
          <w:r>
            <w:instrText xml:space="preserve"> PAGEREF _Toc90247719 \h </w:instrText>
          </w:r>
          <w:r>
            <w:fldChar w:fldCharType="separate"/>
          </w:r>
          <w:r>
            <w:t>13</w:t>
          </w:r>
          <w:r>
            <w:fldChar w:fldCharType="end"/>
          </w:r>
          <w:r>
            <w:fldChar w:fldCharType="end"/>
          </w:r>
        </w:p>
        <w:p>
          <w:pPr>
            <w:pStyle w:val="9"/>
            <w:rPr>
              <w:rStyle w:val="13"/>
            </w:rPr>
          </w:pPr>
          <w:r>
            <w:fldChar w:fldCharType="begin"/>
          </w:r>
          <w:r>
            <w:instrText xml:space="preserve"> HYPERLINK \l "_Toc90247720" </w:instrText>
          </w:r>
          <w:r>
            <w:fldChar w:fldCharType="separate"/>
          </w:r>
          <w:r>
            <w:rPr>
              <w:rStyle w:val="13"/>
              <w:rFonts w:hint="eastAsia" w:ascii="黑体" w:eastAsia="黑体"/>
              <w:kern w:val="32"/>
            </w:rPr>
            <w:t>三、供用水量</w:t>
          </w:r>
          <w:r>
            <w:tab/>
          </w:r>
          <w:r>
            <w:fldChar w:fldCharType="begin"/>
          </w:r>
          <w:r>
            <w:instrText xml:space="preserve"> PAGEREF _Toc90247720 \h </w:instrText>
          </w:r>
          <w:r>
            <w:fldChar w:fldCharType="separate"/>
          </w:r>
          <w:r>
            <w:t>14</w:t>
          </w:r>
          <w:r>
            <w:fldChar w:fldCharType="end"/>
          </w:r>
          <w:r>
            <w:fldChar w:fldCharType="end"/>
          </w:r>
        </w:p>
        <w:p>
          <w:r>
            <w:t xml:space="preserve">         （一）供水量</w:t>
          </w:r>
        </w:p>
        <w:p>
          <w:r>
            <w:t xml:space="preserve">         （二）用水量</w:t>
          </w:r>
        </w:p>
        <w:p>
          <w:r>
            <w:t xml:space="preserve">         （三）用水量变化趋势</w:t>
          </w:r>
        </w:p>
        <w:p>
          <w:r>
            <w:t xml:space="preserve">         （四）用水消耗量</w:t>
          </w:r>
        </w:p>
        <w:p>
          <w:pPr>
            <w:pStyle w:val="9"/>
            <w:rPr>
              <w:rStyle w:val="13"/>
            </w:rPr>
          </w:pPr>
          <w:r>
            <w:fldChar w:fldCharType="begin"/>
          </w:r>
          <w:r>
            <w:instrText xml:space="preserve"> HYPERLINK \l "_Toc90247721" </w:instrText>
          </w:r>
          <w:r>
            <w:fldChar w:fldCharType="separate"/>
          </w:r>
          <w:r>
            <w:rPr>
              <w:rStyle w:val="13"/>
              <w:rFonts w:hint="eastAsia" w:ascii="黑体" w:eastAsia="黑体"/>
              <w:kern w:val="32"/>
            </w:rPr>
            <w:t>四、水资源开发利用</w:t>
          </w:r>
          <w:r>
            <w:tab/>
          </w:r>
          <w:r>
            <w:fldChar w:fldCharType="begin"/>
          </w:r>
          <w:r>
            <w:instrText xml:space="preserve"> PAGEREF _Toc90247721 \h </w:instrText>
          </w:r>
          <w:r>
            <w:fldChar w:fldCharType="separate"/>
          </w:r>
          <w:r>
            <w:t>18</w:t>
          </w:r>
          <w:r>
            <w:fldChar w:fldCharType="end"/>
          </w:r>
          <w:r>
            <w:fldChar w:fldCharType="end"/>
          </w:r>
        </w:p>
        <w:p>
          <w:r>
            <w:t xml:space="preserve">         （一）用水指标</w:t>
          </w:r>
        </w:p>
        <w:p>
          <w:r>
            <w:t xml:space="preserve">         （二）水资源开发利用程度</w:t>
          </w:r>
        </w:p>
        <w:p>
          <w:pPr>
            <w:pStyle w:val="9"/>
            <w:rPr>
              <w:rFonts w:asciiTheme="minorHAnsi" w:hAnsiTheme="minorHAnsi" w:eastAsiaTheme="minorEastAsia" w:cstheme="minorBidi"/>
              <w:b w:val="0"/>
              <w:bCs w:val="0"/>
              <w:caps w:val="0"/>
              <w:color w:val="auto"/>
              <w:sz w:val="21"/>
              <w:szCs w:val="22"/>
            </w:rPr>
          </w:pPr>
          <w:r>
            <w:fldChar w:fldCharType="begin"/>
          </w:r>
          <w:r>
            <w:instrText xml:space="preserve"> HYPERLINK \l "_Toc90247722" </w:instrText>
          </w:r>
          <w:r>
            <w:fldChar w:fldCharType="separate"/>
          </w:r>
          <w:r>
            <w:rPr>
              <w:rStyle w:val="13"/>
              <w:rFonts w:hint="eastAsia" w:ascii="黑体" w:hAnsi="黑体" w:eastAsia="黑体"/>
              <w:kern w:val="32"/>
            </w:rPr>
            <w:t>五、重要水事</w:t>
          </w:r>
          <w:r>
            <w:tab/>
          </w:r>
          <w:r>
            <w:fldChar w:fldCharType="begin"/>
          </w:r>
          <w:r>
            <w:instrText xml:space="preserve"> PAGEREF _Toc90247722 \h </w:instrText>
          </w:r>
          <w:r>
            <w:fldChar w:fldCharType="separate"/>
          </w:r>
          <w:r>
            <w:t>20</w:t>
          </w:r>
          <w:r>
            <w:fldChar w:fldCharType="end"/>
          </w:r>
          <w:r>
            <w:fldChar w:fldCharType="end"/>
          </w:r>
        </w:p>
        <w:p>
          <w:pPr>
            <w:pStyle w:val="9"/>
            <w:rPr>
              <w:rFonts w:asciiTheme="minorHAnsi" w:hAnsiTheme="minorHAnsi" w:eastAsiaTheme="minorEastAsia" w:cstheme="minorBidi"/>
              <w:b w:val="0"/>
              <w:bCs w:val="0"/>
              <w:caps w:val="0"/>
              <w:color w:val="auto"/>
              <w:sz w:val="21"/>
              <w:szCs w:val="22"/>
            </w:rPr>
          </w:pPr>
          <w:r>
            <w:fldChar w:fldCharType="begin"/>
          </w:r>
          <w:r>
            <w:instrText xml:space="preserve"> HYPERLINK \l "_Toc90247723" </w:instrText>
          </w:r>
          <w:r>
            <w:fldChar w:fldCharType="separate"/>
          </w:r>
          <w:r>
            <w:rPr>
              <w:rStyle w:val="13"/>
              <w:rFonts w:hint="eastAsia"/>
            </w:rPr>
            <w:t>术语解释</w:t>
          </w:r>
          <w:r>
            <w:tab/>
          </w:r>
          <w:r>
            <w:fldChar w:fldCharType="begin"/>
          </w:r>
          <w:r>
            <w:instrText xml:space="preserve"> PAGEREF _Toc90247723 \h </w:instrText>
          </w:r>
          <w:r>
            <w:fldChar w:fldCharType="separate"/>
          </w:r>
          <w:r>
            <w:t>22</w:t>
          </w:r>
          <w:r>
            <w:fldChar w:fldCharType="end"/>
          </w:r>
          <w:r>
            <w:fldChar w:fldCharType="end"/>
          </w:r>
        </w:p>
        <w:p>
          <w:r>
            <w:rPr>
              <w:b/>
              <w:bCs/>
              <w:lang w:val="zh-CN"/>
            </w:rPr>
            <w:fldChar w:fldCharType="end"/>
          </w:r>
        </w:p>
      </w:sdtContent>
    </w:sdt>
    <w:p>
      <w:pPr>
        <w:jc w:val="center"/>
        <w:rPr>
          <w:sz w:val="44"/>
          <w:szCs w:val="44"/>
        </w:rPr>
      </w:pPr>
    </w:p>
    <w:p>
      <w:pPr>
        <w:jc w:val="center"/>
        <w:rPr>
          <w:sz w:val="44"/>
          <w:szCs w:val="44"/>
        </w:rPr>
      </w:pPr>
    </w:p>
    <w:p>
      <w:pPr>
        <w:jc w:val="center"/>
        <w:rPr>
          <w:sz w:val="44"/>
          <w:szCs w:val="44"/>
        </w:rPr>
      </w:pPr>
    </w:p>
    <w:p>
      <w:pPr>
        <w:jc w:val="center"/>
        <w:rPr>
          <w:sz w:val="44"/>
          <w:szCs w:val="44"/>
        </w:rPr>
      </w:pPr>
    </w:p>
    <w:p>
      <w:pPr>
        <w:widowControl/>
        <w:jc w:val="left"/>
        <w:rPr>
          <w:sz w:val="44"/>
          <w:szCs w:val="44"/>
        </w:rPr>
        <w:sectPr>
          <w:headerReference r:id="rId4" w:type="default"/>
          <w:pgSz w:w="11906" w:h="16838"/>
          <w:pgMar w:top="1134" w:right="1800" w:bottom="1440" w:left="1800" w:header="851" w:footer="992" w:gutter="0"/>
          <w:cols w:space="425" w:num="1"/>
          <w:docGrid w:type="lines" w:linePitch="312" w:charSpace="0"/>
        </w:sectPr>
      </w:pPr>
    </w:p>
    <w:p>
      <w:pPr>
        <w:pStyle w:val="2"/>
        <w:rPr>
          <w:rFonts w:ascii="黑体" w:hAnsi="黑体" w:eastAsia="黑体"/>
        </w:rPr>
      </w:pPr>
      <w:bookmarkStart w:id="0" w:name="_Toc367229772"/>
      <w:bookmarkStart w:id="1" w:name="_Toc367227614"/>
      <w:bookmarkStart w:id="2" w:name="_Toc367228168"/>
      <w:bookmarkStart w:id="3" w:name="_Toc367223012"/>
      <w:bookmarkStart w:id="4" w:name="_Toc90247717"/>
      <w:r>
        <w:rPr>
          <w:rFonts w:hint="eastAsia" w:ascii="黑体" w:hAnsi="黑体" w:eastAsia="黑体"/>
        </w:rPr>
        <w:t>综  述</w:t>
      </w:r>
      <w:bookmarkEnd w:id="0"/>
      <w:bookmarkEnd w:id="1"/>
      <w:bookmarkEnd w:id="2"/>
      <w:bookmarkEnd w:id="3"/>
      <w:bookmarkEnd w:id="4"/>
    </w:p>
    <w:p>
      <w:pPr>
        <w:ind w:firstLine="560" w:firstLineChars="200"/>
        <w:rPr>
          <w:sz w:val="28"/>
          <w:szCs w:val="28"/>
        </w:rPr>
      </w:pPr>
      <w:r>
        <w:rPr>
          <w:rFonts w:hint="eastAsia"/>
          <w:sz w:val="28"/>
          <w:szCs w:val="28"/>
        </w:rPr>
        <w:t>湘西土家族苗族自治州位于湖南省西北部、云贵高原东侧的武陵山区，</w:t>
      </w:r>
      <w:r>
        <w:rPr>
          <w:sz w:val="28"/>
          <w:szCs w:val="28"/>
        </w:rPr>
        <w:t>距省会长沙</w:t>
      </w:r>
      <w:r>
        <w:rPr>
          <w:rFonts w:hint="eastAsia"/>
          <w:sz w:val="28"/>
          <w:szCs w:val="28"/>
        </w:rPr>
        <w:t>472</w:t>
      </w:r>
      <w:r>
        <w:rPr>
          <w:sz w:val="28"/>
          <w:szCs w:val="28"/>
        </w:rPr>
        <w:t>公里</w:t>
      </w:r>
      <w:r>
        <w:rPr>
          <w:rFonts w:hint="eastAsia"/>
          <w:sz w:val="28"/>
          <w:szCs w:val="28"/>
        </w:rPr>
        <w:t>，是湖南省进入国家“西部大开发”的唯一地区。</w:t>
      </w:r>
      <w:r>
        <w:rPr>
          <w:sz w:val="28"/>
          <w:szCs w:val="28"/>
        </w:rPr>
        <w:t>地理位置</w:t>
      </w:r>
      <w:r>
        <w:rPr>
          <w:rFonts w:hint="eastAsia"/>
          <w:sz w:val="28"/>
          <w:szCs w:val="28"/>
        </w:rPr>
        <w:t>介于</w:t>
      </w:r>
      <w:r>
        <w:rPr>
          <w:sz w:val="28"/>
          <w:szCs w:val="28"/>
        </w:rPr>
        <w:t>东经109°10</w:t>
      </w:r>
      <w:r>
        <w:rPr>
          <w:rFonts w:hint="eastAsia"/>
          <w:sz w:val="28"/>
          <w:szCs w:val="28"/>
        </w:rPr>
        <w:t>′</w:t>
      </w:r>
      <w:r>
        <w:rPr>
          <w:sz w:val="28"/>
          <w:szCs w:val="28"/>
        </w:rPr>
        <w:t>~110°22.5</w:t>
      </w:r>
      <w:r>
        <w:rPr>
          <w:rFonts w:hint="eastAsia"/>
          <w:sz w:val="28"/>
          <w:szCs w:val="28"/>
        </w:rPr>
        <w:t>′</w:t>
      </w:r>
      <w:r>
        <w:rPr>
          <w:sz w:val="28"/>
          <w:szCs w:val="28"/>
        </w:rPr>
        <w:t>，北纬27°44.5</w:t>
      </w:r>
      <w:r>
        <w:rPr>
          <w:rFonts w:hint="eastAsia"/>
          <w:sz w:val="28"/>
          <w:szCs w:val="28"/>
        </w:rPr>
        <w:t>′</w:t>
      </w:r>
      <w:r>
        <w:rPr>
          <w:sz w:val="28"/>
          <w:szCs w:val="28"/>
        </w:rPr>
        <w:t>~29°38</w:t>
      </w:r>
      <w:r>
        <w:rPr>
          <w:rFonts w:hint="eastAsia"/>
          <w:sz w:val="28"/>
          <w:szCs w:val="28"/>
        </w:rPr>
        <w:t>′之间</w:t>
      </w:r>
      <w:r>
        <w:rPr>
          <w:sz w:val="28"/>
          <w:szCs w:val="28"/>
        </w:rPr>
        <w:t>。</w:t>
      </w:r>
      <w:r>
        <w:rPr>
          <w:rFonts w:hint="eastAsia"/>
          <w:sz w:val="28"/>
          <w:szCs w:val="28"/>
        </w:rPr>
        <w:t>国土面积15462平方公里，占全省面积的7.3%，其中山地面积占全州总面积81. 5%，丘陵占10. 3%，岗地占2.5%，平原占4.1%，水面占1.6%。境内沅、澧两水由西向东横贯全州，</w:t>
      </w:r>
      <w:r>
        <w:rPr>
          <w:sz w:val="28"/>
          <w:szCs w:val="28"/>
        </w:rPr>
        <w:t>沟壑纵横，溪河密布</w:t>
      </w:r>
      <w:r>
        <w:rPr>
          <w:rFonts w:hint="eastAsia"/>
          <w:sz w:val="28"/>
          <w:szCs w:val="28"/>
        </w:rPr>
        <w:t>，水资源较为丰富。</w:t>
      </w:r>
    </w:p>
    <w:p>
      <w:pPr>
        <w:ind w:firstLine="560" w:firstLineChars="200"/>
        <w:rPr>
          <w:sz w:val="28"/>
          <w:szCs w:val="28"/>
        </w:rPr>
      </w:pPr>
      <w:r>
        <w:rPr>
          <w:rFonts w:hint="eastAsia"/>
          <w:sz w:val="28"/>
          <w:szCs w:val="28"/>
        </w:rPr>
        <w:t>20</w:t>
      </w:r>
      <w:r>
        <w:rPr>
          <w:sz w:val="28"/>
          <w:szCs w:val="28"/>
        </w:rPr>
        <w:t>20</w:t>
      </w:r>
      <w:r>
        <w:rPr>
          <w:rFonts w:hint="eastAsia"/>
          <w:sz w:val="28"/>
          <w:szCs w:val="28"/>
        </w:rPr>
        <w:t>年全州年降水量</w:t>
      </w:r>
      <w:r>
        <w:rPr>
          <w:sz w:val="28"/>
          <w:szCs w:val="28"/>
        </w:rPr>
        <w:t>2005.8</w:t>
      </w:r>
      <w:r>
        <w:rPr>
          <w:rFonts w:hint="eastAsia"/>
          <w:sz w:val="28"/>
          <w:szCs w:val="28"/>
        </w:rPr>
        <w:t>毫米，较上年偏多5</w:t>
      </w:r>
      <w:r>
        <w:rPr>
          <w:sz w:val="28"/>
          <w:szCs w:val="28"/>
        </w:rPr>
        <w:t>6.2</w:t>
      </w:r>
      <w:r>
        <w:rPr>
          <w:rFonts w:hint="eastAsia"/>
          <w:sz w:val="28"/>
          <w:szCs w:val="28"/>
        </w:rPr>
        <w:t>%，比多年平均偏多4</w:t>
      </w:r>
      <w:r>
        <w:rPr>
          <w:sz w:val="28"/>
          <w:szCs w:val="28"/>
        </w:rPr>
        <w:t>1.5</w:t>
      </w:r>
      <w:r>
        <w:rPr>
          <w:rFonts w:hint="eastAsia"/>
          <w:sz w:val="28"/>
          <w:szCs w:val="28"/>
        </w:rPr>
        <w:t>%，属丰水年；地表水资源量</w:t>
      </w:r>
      <w:r>
        <w:rPr>
          <w:sz w:val="28"/>
          <w:szCs w:val="28"/>
        </w:rPr>
        <w:t>226.8</w:t>
      </w:r>
      <w:r>
        <w:rPr>
          <w:rFonts w:hint="eastAsia"/>
          <w:sz w:val="28"/>
          <w:szCs w:val="28"/>
        </w:rPr>
        <w:t>亿m</w:t>
      </w:r>
      <w:r>
        <w:rPr>
          <w:rFonts w:hint="eastAsia"/>
          <w:sz w:val="28"/>
          <w:szCs w:val="28"/>
          <w:vertAlign w:val="superscript"/>
        </w:rPr>
        <w:t>3</w:t>
      </w:r>
      <w:r>
        <w:rPr>
          <w:rFonts w:hint="eastAsia"/>
          <w:sz w:val="28"/>
          <w:szCs w:val="28"/>
        </w:rPr>
        <w:t>，比上年偏多</w:t>
      </w:r>
      <w:r>
        <w:rPr>
          <w:sz w:val="28"/>
          <w:szCs w:val="28"/>
        </w:rPr>
        <w:t>96.9</w:t>
      </w:r>
      <w:r>
        <w:rPr>
          <w:rFonts w:hint="eastAsia"/>
          <w:sz w:val="28"/>
          <w:szCs w:val="28"/>
        </w:rPr>
        <w:t>%，比多年平均偏多8</w:t>
      </w:r>
      <w:r>
        <w:rPr>
          <w:sz w:val="28"/>
          <w:szCs w:val="28"/>
        </w:rPr>
        <w:t>1.0</w:t>
      </w:r>
      <w:r>
        <w:rPr>
          <w:rFonts w:hint="eastAsia"/>
          <w:sz w:val="28"/>
          <w:szCs w:val="28"/>
        </w:rPr>
        <w:t>%，地下水资源量</w:t>
      </w:r>
      <w:r>
        <w:rPr>
          <w:sz w:val="28"/>
          <w:szCs w:val="28"/>
        </w:rPr>
        <w:t>36.94</w:t>
      </w:r>
      <w:r>
        <w:rPr>
          <w:rFonts w:hint="eastAsia"/>
          <w:sz w:val="28"/>
          <w:szCs w:val="28"/>
        </w:rPr>
        <w:t>亿m</w:t>
      </w:r>
      <w:r>
        <w:rPr>
          <w:rFonts w:hint="eastAsia"/>
          <w:sz w:val="28"/>
          <w:szCs w:val="28"/>
          <w:vertAlign w:val="superscript"/>
        </w:rPr>
        <w:t>3</w:t>
      </w:r>
      <w:r>
        <w:rPr>
          <w:rFonts w:hint="eastAsia"/>
          <w:sz w:val="28"/>
          <w:szCs w:val="28"/>
        </w:rPr>
        <w:t>，水资源总量</w:t>
      </w:r>
      <w:r>
        <w:rPr>
          <w:sz w:val="28"/>
          <w:szCs w:val="28"/>
        </w:rPr>
        <w:t>226.8</w:t>
      </w:r>
      <w:r>
        <w:rPr>
          <w:rFonts w:hint="eastAsia"/>
          <w:sz w:val="28"/>
          <w:szCs w:val="28"/>
        </w:rPr>
        <w:t xml:space="preserve"> m</w:t>
      </w:r>
      <w:r>
        <w:rPr>
          <w:rFonts w:hint="eastAsia"/>
          <w:sz w:val="28"/>
          <w:szCs w:val="28"/>
          <w:vertAlign w:val="superscript"/>
        </w:rPr>
        <w:t>3</w:t>
      </w:r>
      <w:r>
        <w:rPr>
          <w:rFonts w:hint="eastAsia"/>
          <w:sz w:val="28"/>
          <w:szCs w:val="28"/>
        </w:rPr>
        <w:t>，重复计算量</w:t>
      </w:r>
      <w:r>
        <w:rPr>
          <w:sz w:val="28"/>
          <w:szCs w:val="28"/>
        </w:rPr>
        <w:t>36.94</w:t>
      </w:r>
      <w:r>
        <w:rPr>
          <w:rFonts w:hint="eastAsia"/>
          <w:sz w:val="28"/>
          <w:szCs w:val="28"/>
        </w:rPr>
        <w:t>亿m</w:t>
      </w:r>
      <w:r>
        <w:rPr>
          <w:rFonts w:hint="eastAsia"/>
          <w:sz w:val="28"/>
          <w:szCs w:val="28"/>
          <w:vertAlign w:val="superscript"/>
        </w:rPr>
        <w:t>3</w:t>
      </w:r>
      <w:r>
        <w:rPr>
          <w:rFonts w:hint="eastAsia"/>
          <w:sz w:val="28"/>
          <w:szCs w:val="28"/>
        </w:rPr>
        <w:t>。</w:t>
      </w:r>
    </w:p>
    <w:p>
      <w:pPr>
        <w:ind w:firstLine="560" w:firstLineChars="200"/>
        <w:rPr>
          <w:sz w:val="28"/>
          <w:szCs w:val="28"/>
        </w:rPr>
      </w:pPr>
      <w:r>
        <w:rPr>
          <w:rFonts w:hint="eastAsia"/>
          <w:sz w:val="28"/>
          <w:szCs w:val="28"/>
        </w:rPr>
        <w:t>2</w:t>
      </w:r>
      <w:r>
        <w:rPr>
          <w:sz w:val="28"/>
          <w:szCs w:val="28"/>
        </w:rPr>
        <w:t>020</w:t>
      </w:r>
      <w:r>
        <w:rPr>
          <w:rFonts w:hint="eastAsia"/>
          <w:sz w:val="28"/>
          <w:szCs w:val="28"/>
        </w:rPr>
        <w:t>年全州各类蓄水工程年末蓄水总量</w:t>
      </w:r>
      <w:r>
        <w:rPr>
          <w:sz w:val="28"/>
          <w:szCs w:val="28"/>
        </w:rPr>
        <w:t>8.49</w:t>
      </w:r>
      <w:r>
        <w:rPr>
          <w:rFonts w:hint="eastAsia"/>
          <w:sz w:val="28"/>
          <w:szCs w:val="28"/>
        </w:rPr>
        <w:t>亿m</w:t>
      </w:r>
      <w:r>
        <w:rPr>
          <w:rFonts w:hint="eastAsia"/>
          <w:sz w:val="28"/>
          <w:szCs w:val="28"/>
          <w:vertAlign w:val="superscript"/>
        </w:rPr>
        <w:t>3</w:t>
      </w:r>
      <w:r>
        <w:rPr>
          <w:rFonts w:hint="eastAsia"/>
          <w:sz w:val="28"/>
          <w:szCs w:val="28"/>
        </w:rPr>
        <w:t>，比上年末增加</w:t>
      </w:r>
      <w:r>
        <w:rPr>
          <w:sz w:val="28"/>
          <w:szCs w:val="28"/>
        </w:rPr>
        <w:t>1.34</w:t>
      </w:r>
      <w:r>
        <w:rPr>
          <w:rFonts w:hint="eastAsia"/>
          <w:sz w:val="28"/>
          <w:szCs w:val="28"/>
        </w:rPr>
        <w:t>亿m</w:t>
      </w:r>
      <w:r>
        <w:rPr>
          <w:rFonts w:hint="eastAsia"/>
          <w:sz w:val="28"/>
          <w:szCs w:val="28"/>
          <w:vertAlign w:val="superscript"/>
        </w:rPr>
        <w:t>3</w:t>
      </w:r>
      <w:r>
        <w:rPr>
          <w:rFonts w:hint="eastAsia"/>
          <w:sz w:val="28"/>
          <w:szCs w:val="28"/>
        </w:rPr>
        <w:t>，其中大、中型水库年末蓄水量比上年末增加</w:t>
      </w:r>
      <w:r>
        <w:rPr>
          <w:sz w:val="28"/>
          <w:szCs w:val="28"/>
        </w:rPr>
        <w:t>0.78</w:t>
      </w:r>
      <w:r>
        <w:rPr>
          <w:rFonts w:hint="eastAsia"/>
          <w:sz w:val="28"/>
          <w:szCs w:val="28"/>
        </w:rPr>
        <w:t>亿m</w:t>
      </w:r>
      <w:r>
        <w:rPr>
          <w:rFonts w:hint="eastAsia"/>
          <w:sz w:val="28"/>
          <w:szCs w:val="28"/>
          <w:vertAlign w:val="superscript"/>
        </w:rPr>
        <w:t>3</w:t>
      </w:r>
      <w:r>
        <w:rPr>
          <w:rFonts w:hint="eastAsia"/>
          <w:sz w:val="28"/>
          <w:szCs w:val="28"/>
        </w:rPr>
        <w:t>。全州供水总量</w:t>
      </w:r>
      <w:r>
        <w:rPr>
          <w:sz w:val="28"/>
          <w:szCs w:val="28"/>
        </w:rPr>
        <w:t>8.64</w:t>
      </w:r>
      <w:r>
        <w:rPr>
          <w:rFonts w:hint="eastAsia"/>
          <w:sz w:val="28"/>
          <w:szCs w:val="28"/>
        </w:rPr>
        <w:t>亿m</w:t>
      </w:r>
      <w:r>
        <w:rPr>
          <w:rFonts w:hint="eastAsia"/>
          <w:sz w:val="28"/>
          <w:szCs w:val="28"/>
          <w:vertAlign w:val="superscript"/>
        </w:rPr>
        <w:t>3</w:t>
      </w:r>
      <w:r>
        <w:rPr>
          <w:rFonts w:hint="eastAsia"/>
          <w:sz w:val="28"/>
          <w:szCs w:val="28"/>
        </w:rPr>
        <w:t>，各部门实际用水总量</w:t>
      </w:r>
      <w:r>
        <w:rPr>
          <w:sz w:val="28"/>
          <w:szCs w:val="28"/>
        </w:rPr>
        <w:t>8.64</w:t>
      </w:r>
      <w:r>
        <w:rPr>
          <w:rFonts w:hint="eastAsia"/>
          <w:sz w:val="28"/>
          <w:szCs w:val="28"/>
        </w:rPr>
        <w:t>亿m</w:t>
      </w:r>
      <w:r>
        <w:rPr>
          <w:rFonts w:hint="eastAsia"/>
          <w:sz w:val="28"/>
          <w:szCs w:val="28"/>
          <w:vertAlign w:val="superscript"/>
        </w:rPr>
        <w:t>3</w:t>
      </w:r>
      <w:r>
        <w:rPr>
          <w:rFonts w:hint="eastAsia"/>
          <w:sz w:val="28"/>
          <w:szCs w:val="28"/>
        </w:rPr>
        <w:t>，比上年减少</w:t>
      </w:r>
      <w:r>
        <w:rPr>
          <w:sz w:val="28"/>
          <w:szCs w:val="28"/>
        </w:rPr>
        <w:t>5.85</w:t>
      </w:r>
      <w:r>
        <w:rPr>
          <w:rFonts w:hint="eastAsia"/>
          <w:sz w:val="28"/>
          <w:szCs w:val="28"/>
        </w:rPr>
        <w:t>%。</w:t>
      </w:r>
    </w:p>
    <w:p>
      <w:pPr>
        <w:ind w:firstLine="560" w:firstLineChars="200"/>
        <w:rPr>
          <w:color w:val="auto"/>
          <w:sz w:val="28"/>
          <w:szCs w:val="28"/>
        </w:rPr>
      </w:pPr>
      <w:r>
        <w:rPr>
          <w:color w:val="000000" w:themeColor="text1"/>
          <w:sz w:val="28"/>
          <w:szCs w:val="28"/>
        </w:rPr>
        <w:t>2020年6</w:t>
      </w:r>
      <w:r>
        <w:rPr>
          <w:rFonts w:hint="eastAsia"/>
          <w:color w:val="000000" w:themeColor="text1"/>
          <w:sz w:val="28"/>
          <w:szCs w:val="28"/>
        </w:rPr>
        <w:t>月</w:t>
      </w:r>
      <w:r>
        <w:rPr>
          <w:color w:val="000000" w:themeColor="text1"/>
          <w:sz w:val="28"/>
          <w:szCs w:val="28"/>
        </w:rPr>
        <w:t>-9月</w:t>
      </w:r>
      <w:r>
        <w:rPr>
          <w:rFonts w:hint="eastAsia"/>
          <w:color w:val="000000" w:themeColor="text1"/>
          <w:sz w:val="28"/>
          <w:szCs w:val="28"/>
        </w:rPr>
        <w:t>中旬局部发生大暴雨及特大暴雨，致使湘西州各溪河均出现今年以来最大的洪水过程，其中酉水干流石堤（二）站发生</w:t>
      </w:r>
      <w:r>
        <w:rPr>
          <w:color w:val="000000" w:themeColor="text1"/>
          <w:sz w:val="28"/>
          <w:szCs w:val="28"/>
        </w:rPr>
        <w:t>持平保证水位洪水1次、</w:t>
      </w:r>
      <w:r>
        <w:rPr>
          <w:rFonts w:hint="eastAsia"/>
          <w:color w:val="000000" w:themeColor="text1"/>
          <w:sz w:val="28"/>
          <w:szCs w:val="28"/>
        </w:rPr>
        <w:t>超保证水位洪水</w:t>
      </w:r>
      <w:r>
        <w:rPr>
          <w:color w:val="000000" w:themeColor="text1"/>
          <w:sz w:val="28"/>
          <w:szCs w:val="28"/>
        </w:rPr>
        <w:t>1次。8月上中</w:t>
      </w:r>
      <w:r>
        <w:rPr>
          <w:rFonts w:hint="eastAsia"/>
          <w:color w:val="000000" w:themeColor="text1"/>
          <w:sz w:val="28"/>
          <w:szCs w:val="28"/>
        </w:rPr>
        <w:t>旬</w:t>
      </w:r>
      <w:r>
        <w:rPr>
          <w:color w:val="000000" w:themeColor="text1"/>
          <w:sz w:val="28"/>
          <w:szCs w:val="28"/>
        </w:rPr>
        <w:t>部分时段湘西州各县(市)均发生了轻度水文干旱，</w:t>
      </w:r>
      <w:r>
        <w:rPr>
          <w:rFonts w:hint="eastAsia"/>
          <w:color w:val="000000" w:themeColor="text1"/>
          <w:sz w:val="28"/>
          <w:szCs w:val="28"/>
        </w:rPr>
        <w:t>南部凤凰县山江镇等局部地区发生了中度水文干旱，其它月份各县</w:t>
      </w:r>
      <w:r>
        <w:rPr>
          <w:color w:val="000000" w:themeColor="text1"/>
          <w:sz w:val="28"/>
          <w:szCs w:val="28"/>
        </w:rPr>
        <w:t>(市)均基本无</w:t>
      </w:r>
      <w:r>
        <w:rPr>
          <w:rFonts w:hint="eastAsia"/>
          <w:color w:val="000000" w:themeColor="text1"/>
          <w:sz w:val="28"/>
          <w:szCs w:val="28"/>
        </w:rPr>
        <w:t>旱情。</w:t>
      </w:r>
    </w:p>
    <w:p>
      <w:pPr>
        <w:pStyle w:val="2"/>
      </w:pPr>
      <w:bookmarkStart w:id="5" w:name="_Toc90247718"/>
      <w:r>
        <w:rPr>
          <w:rFonts w:hint="eastAsia"/>
        </w:rPr>
        <w:t>一</w:t>
      </w:r>
      <w:r>
        <w:rPr>
          <w:rFonts w:hint="eastAsia" w:ascii="黑体" w:eastAsia="黑体"/>
          <w:kern w:val="32"/>
        </w:rPr>
        <w:t>、水资源量</w:t>
      </w:r>
      <w:bookmarkEnd w:id="5"/>
    </w:p>
    <w:p>
      <w:pPr>
        <w:rPr>
          <w:b/>
          <w:sz w:val="28"/>
          <w:szCs w:val="28"/>
        </w:rPr>
      </w:pPr>
      <w:bookmarkStart w:id="6" w:name="_Toc367227616"/>
      <w:bookmarkStart w:id="7" w:name="_Toc367228170"/>
      <w:r>
        <w:rPr>
          <w:rFonts w:hint="eastAsia"/>
          <w:b/>
          <w:sz w:val="28"/>
          <w:szCs w:val="28"/>
        </w:rPr>
        <w:t>（一）降水</w:t>
      </w:r>
      <w:bookmarkEnd w:id="6"/>
      <w:bookmarkEnd w:id="7"/>
    </w:p>
    <w:p>
      <w:pPr>
        <w:ind w:firstLine="560" w:firstLineChars="200"/>
        <w:rPr>
          <w:sz w:val="28"/>
          <w:szCs w:val="28"/>
        </w:rPr>
      </w:pPr>
      <w:r>
        <w:rPr>
          <w:rFonts w:hint="eastAsia"/>
          <w:sz w:val="28"/>
          <w:szCs w:val="28"/>
        </w:rPr>
        <w:t>20</w:t>
      </w:r>
      <w:r>
        <w:rPr>
          <w:sz w:val="28"/>
          <w:szCs w:val="28"/>
        </w:rPr>
        <w:t>20</w:t>
      </w:r>
      <w:r>
        <w:rPr>
          <w:rFonts w:hint="eastAsia"/>
          <w:sz w:val="28"/>
          <w:szCs w:val="28"/>
        </w:rPr>
        <w:t>年全州年平均降水量</w:t>
      </w:r>
      <w:r>
        <w:rPr>
          <w:sz w:val="28"/>
          <w:szCs w:val="28"/>
        </w:rPr>
        <w:t>2005.8</w:t>
      </w:r>
      <w:r>
        <w:rPr>
          <w:rFonts w:hint="eastAsia"/>
          <w:sz w:val="28"/>
          <w:szCs w:val="28"/>
        </w:rPr>
        <w:t>毫米，折合水量</w:t>
      </w:r>
      <w:r>
        <w:rPr>
          <w:sz w:val="28"/>
          <w:szCs w:val="28"/>
        </w:rPr>
        <w:t>310.15</w:t>
      </w:r>
      <w:r>
        <w:rPr>
          <w:rFonts w:hint="eastAsia"/>
          <w:sz w:val="28"/>
          <w:szCs w:val="28"/>
        </w:rPr>
        <w:t>亿m</w:t>
      </w:r>
      <w:r>
        <w:rPr>
          <w:rFonts w:hint="eastAsia"/>
          <w:sz w:val="28"/>
          <w:szCs w:val="28"/>
          <w:vertAlign w:val="superscript"/>
        </w:rPr>
        <w:t>3</w:t>
      </w:r>
      <w:r>
        <w:rPr>
          <w:rFonts w:hint="eastAsia"/>
          <w:sz w:val="28"/>
          <w:szCs w:val="28"/>
        </w:rPr>
        <w:t>，较上年偏多</w:t>
      </w:r>
      <w:r>
        <w:rPr>
          <w:sz w:val="28"/>
          <w:szCs w:val="28"/>
        </w:rPr>
        <w:t>56.2</w:t>
      </w:r>
      <w:r>
        <w:rPr>
          <w:rFonts w:hint="eastAsia"/>
          <w:sz w:val="28"/>
          <w:szCs w:val="28"/>
        </w:rPr>
        <w:t>%，比多年平均偏多</w:t>
      </w:r>
      <w:r>
        <w:rPr>
          <w:sz w:val="28"/>
          <w:szCs w:val="28"/>
        </w:rPr>
        <w:t>41.</w:t>
      </w:r>
      <w:r>
        <w:rPr>
          <w:rFonts w:hint="eastAsia"/>
          <w:sz w:val="28"/>
          <w:szCs w:val="28"/>
          <w:lang w:val="en-US" w:eastAsia="zh-CN"/>
        </w:rPr>
        <w:t>5</w:t>
      </w:r>
      <w:r>
        <w:rPr>
          <w:rFonts w:hint="eastAsia"/>
          <w:sz w:val="28"/>
          <w:szCs w:val="28"/>
        </w:rPr>
        <w:t>%，属丰水年。</w:t>
      </w:r>
    </w:p>
    <w:p>
      <w:pPr>
        <w:ind w:firstLine="560" w:firstLineChars="200"/>
        <w:rPr>
          <w:bCs/>
          <w:color w:val="000000" w:themeColor="text1"/>
          <w:sz w:val="28"/>
          <w:szCs w:val="28"/>
        </w:rPr>
      </w:pPr>
      <w:r>
        <w:rPr>
          <w:rFonts w:hint="eastAsia"/>
          <w:bCs/>
          <w:color w:val="000000" w:themeColor="text1"/>
          <w:sz w:val="28"/>
          <w:szCs w:val="28"/>
        </w:rPr>
        <w:t>按行政分区统计,全州8县市年降水量与多年平均比较都偏多，吉首市、泸溪县、凤凰县、花垣县、保靖县、古丈、永顺县、龙山县降水量分别比多年平均偏多37.0%、46.0%、26.0%、35.2%、46.8%、37.5%、46.4%、43.5%。2020年各行政分区年降雨量与2019年、多年平均比较见图1。</w:t>
      </w:r>
    </w:p>
    <w:p>
      <w:pPr>
        <w:rPr>
          <w:bCs/>
          <w:color w:val="000000" w:themeColor="text1"/>
          <w:sz w:val="28"/>
          <w:szCs w:val="28"/>
        </w:rPr>
      </w:pPr>
      <w:r>
        <w:rPr>
          <w:bCs/>
          <w:color w:val="000000" w:themeColor="text1"/>
          <w:sz w:val="28"/>
          <w:szCs w:val="28"/>
        </w:rPr>
        <w:drawing>
          <wp:inline distT="0" distB="0" distL="0" distR="0">
            <wp:extent cx="5274310" cy="2188210"/>
            <wp:effectExtent l="19050" t="0" r="21590" b="2278"/>
            <wp:docPr id="3" name="图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7"/>
              </a:graphicData>
            </a:graphic>
          </wp:inline>
        </w:drawing>
      </w:r>
    </w:p>
    <w:p>
      <w:pPr>
        <w:jc w:val="center"/>
        <w:rPr>
          <w:b/>
          <w:bCs/>
          <w:color w:val="000000" w:themeColor="text1"/>
          <w:sz w:val="28"/>
          <w:szCs w:val="28"/>
        </w:rPr>
      </w:pPr>
      <w:r>
        <w:rPr>
          <w:rFonts w:hint="eastAsia"/>
          <w:b/>
          <w:color w:val="000000" w:themeColor="text1"/>
          <w:sz w:val="28"/>
          <w:szCs w:val="28"/>
        </w:rPr>
        <w:t>△</w:t>
      </w:r>
      <w:r>
        <w:rPr>
          <w:rFonts w:hint="eastAsia"/>
          <w:b/>
          <w:bCs/>
          <w:color w:val="000000" w:themeColor="text1"/>
          <w:sz w:val="28"/>
          <w:szCs w:val="28"/>
        </w:rPr>
        <w:t>图1 2020年各行政分区降水量与2019、多年平均比较图</w:t>
      </w:r>
    </w:p>
    <w:p>
      <w:pPr>
        <w:rPr>
          <w:color w:val="000000" w:themeColor="text1"/>
          <w:sz w:val="28"/>
          <w:szCs w:val="28"/>
        </w:rPr>
      </w:pPr>
      <w:r>
        <w:rPr>
          <w:rFonts w:hint="eastAsia"/>
          <w:color w:val="000000" w:themeColor="text1"/>
          <w:sz w:val="28"/>
          <w:szCs w:val="28"/>
        </w:rPr>
        <w:t xml:space="preserve">  按水资源分区统计，湘西州境内3个三级区与多年平均比较都偏多，</w:t>
      </w:r>
    </w:p>
    <w:p>
      <w:pPr>
        <w:rPr>
          <w:color w:val="000000" w:themeColor="text1"/>
          <w:sz w:val="28"/>
          <w:szCs w:val="28"/>
        </w:rPr>
      </w:pPr>
      <w:r>
        <w:rPr>
          <w:rFonts w:hint="eastAsia"/>
          <w:color w:val="000000" w:themeColor="text1"/>
          <w:sz w:val="28"/>
          <w:szCs w:val="28"/>
        </w:rPr>
        <w:t>沅江浦市以上、沅江浦市以下和澧水区分别偏多38.7%、41.3%和44.1%。</w:t>
      </w:r>
      <w:r>
        <w:rPr>
          <w:color w:val="000000" w:themeColor="text1"/>
          <w:sz w:val="28"/>
          <w:szCs w:val="28"/>
        </w:rPr>
        <w:t>2020年各水资源分区年降水量与2019年、多年平均比较见图</w:t>
      </w:r>
      <w:r>
        <w:rPr>
          <w:rFonts w:hint="eastAsia"/>
          <w:color w:val="000000" w:themeColor="text1"/>
          <w:sz w:val="28"/>
          <w:szCs w:val="28"/>
        </w:rPr>
        <w:t>2。</w:t>
      </w:r>
    </w:p>
    <w:p>
      <w:pPr>
        <w:rPr>
          <w:color w:val="000000" w:themeColor="text1"/>
          <w:sz w:val="28"/>
          <w:szCs w:val="28"/>
        </w:rPr>
      </w:pPr>
      <w:r>
        <w:rPr>
          <w:color w:val="000000" w:themeColor="text1"/>
          <w:sz w:val="28"/>
          <w:szCs w:val="28"/>
        </w:rPr>
        <w:drawing>
          <wp:inline distT="0" distB="0" distL="0" distR="0">
            <wp:extent cx="5274310" cy="2188210"/>
            <wp:effectExtent l="19050" t="0" r="21590" b="2278"/>
            <wp:docPr id="4" name="图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pPr>
        <w:jc w:val="center"/>
        <w:rPr>
          <w:b/>
          <w:bCs/>
          <w:color w:val="000000" w:themeColor="text1"/>
          <w:sz w:val="28"/>
          <w:szCs w:val="28"/>
        </w:rPr>
      </w:pPr>
      <w:r>
        <w:rPr>
          <w:rFonts w:hint="eastAsia"/>
          <w:b/>
          <w:color w:val="000000" w:themeColor="text1"/>
          <w:sz w:val="28"/>
          <w:szCs w:val="28"/>
        </w:rPr>
        <w:t xml:space="preserve">△图2 </w:t>
      </w:r>
      <w:r>
        <w:rPr>
          <w:rFonts w:hint="eastAsia"/>
          <w:b/>
          <w:bCs/>
          <w:color w:val="000000" w:themeColor="text1"/>
          <w:sz w:val="28"/>
          <w:szCs w:val="28"/>
        </w:rPr>
        <w:t>2020年各水资源分区降水量与2019、多年平均比较图</w:t>
      </w:r>
    </w:p>
    <w:p>
      <w:pPr>
        <w:rPr>
          <w:b/>
          <w:color w:val="000000" w:themeColor="text1"/>
          <w:sz w:val="28"/>
          <w:szCs w:val="28"/>
        </w:rPr>
      </w:pPr>
      <w:r>
        <w:rPr>
          <w:rFonts w:hint="eastAsia"/>
          <w:b/>
          <w:color w:val="000000" w:themeColor="text1"/>
          <w:sz w:val="28"/>
          <w:szCs w:val="28"/>
        </w:rPr>
        <w:t>2020年降水的主要特点：</w:t>
      </w:r>
    </w:p>
    <w:p>
      <w:pPr>
        <w:pStyle w:val="24"/>
        <w:ind w:left="360" w:firstLine="0" w:firstLineChars="0"/>
        <w:rPr>
          <w:b/>
          <w:color w:val="000000" w:themeColor="text1"/>
          <w:sz w:val="28"/>
          <w:szCs w:val="28"/>
        </w:rPr>
      </w:pPr>
      <w:r>
        <w:rPr>
          <w:rFonts w:hint="eastAsia"/>
          <w:b/>
          <w:color w:val="000000" w:themeColor="text1"/>
          <w:sz w:val="28"/>
          <w:szCs w:val="28"/>
        </w:rPr>
        <w:t>降水量地域分布差别较大</w:t>
      </w:r>
    </w:p>
    <w:p>
      <w:pPr>
        <w:ind w:firstLine="420" w:firstLineChars="150"/>
        <w:rPr>
          <w:color w:val="000000" w:themeColor="text1"/>
          <w:sz w:val="28"/>
          <w:szCs w:val="28"/>
        </w:rPr>
      </w:pPr>
      <w:r>
        <w:rPr>
          <w:color w:val="000000" w:themeColor="text1"/>
          <w:sz w:val="28"/>
          <w:szCs w:val="28"/>
        </w:rPr>
        <w:t>全州最小降水量为</w:t>
      </w:r>
      <w:r>
        <w:rPr>
          <w:rFonts w:hint="eastAsia"/>
          <w:color w:val="000000" w:themeColor="text1"/>
          <w:sz w:val="28"/>
          <w:szCs w:val="28"/>
        </w:rPr>
        <w:t>凤凰县</w:t>
      </w:r>
      <w:r>
        <w:rPr>
          <w:color w:val="000000" w:themeColor="text1"/>
          <w:sz w:val="28"/>
          <w:szCs w:val="28"/>
        </w:rPr>
        <w:t>夺溪站，年降雨量为</w:t>
      </w:r>
      <w:r>
        <w:rPr>
          <w:rFonts w:hint="eastAsia"/>
          <w:color w:val="000000" w:themeColor="text1"/>
          <w:sz w:val="28"/>
          <w:szCs w:val="28"/>
        </w:rPr>
        <w:t>1526mm，最大降雨量为龙山县洛塔站，年降雨量为2337mm，极值比为1.5。全州地域分布呈北高南低。</w:t>
      </w:r>
    </w:p>
    <w:p>
      <w:pPr>
        <w:ind w:firstLine="421" w:firstLineChars="150"/>
        <w:rPr>
          <w:b/>
          <w:color w:val="000000" w:themeColor="text1"/>
          <w:sz w:val="28"/>
          <w:szCs w:val="28"/>
        </w:rPr>
      </w:pPr>
      <w:r>
        <w:rPr>
          <w:rFonts w:hint="eastAsia"/>
          <w:b/>
          <w:color w:val="000000" w:themeColor="text1"/>
          <w:sz w:val="28"/>
          <w:szCs w:val="28"/>
        </w:rPr>
        <w:t>高值区</w:t>
      </w:r>
    </w:p>
    <w:p>
      <w:pPr>
        <w:ind w:firstLine="420" w:firstLineChars="150"/>
        <w:rPr>
          <w:color w:val="000000" w:themeColor="text1"/>
          <w:sz w:val="28"/>
          <w:szCs w:val="28"/>
        </w:rPr>
      </w:pPr>
      <w:r>
        <w:rPr>
          <w:color w:val="000000" w:themeColor="text1"/>
          <w:sz w:val="28"/>
          <w:szCs w:val="28"/>
        </w:rPr>
        <w:t>北部</w:t>
      </w:r>
      <w:r>
        <w:rPr>
          <w:color w:val="000000" w:themeColor="text1"/>
          <w:sz w:val="28"/>
          <w:szCs w:val="28"/>
        </w:rPr>
        <w:fldChar w:fldCharType="begin"/>
      </w:r>
      <w:r>
        <w:rPr>
          <w:color w:val="000000" w:themeColor="text1"/>
          <w:sz w:val="28"/>
          <w:szCs w:val="28"/>
        </w:rPr>
        <w:instrText xml:space="preserve"> </w:instrText>
      </w:r>
      <w:r>
        <w:rPr>
          <w:rFonts w:hint="eastAsia"/>
          <w:color w:val="000000" w:themeColor="text1"/>
          <w:sz w:val="28"/>
          <w:szCs w:val="28"/>
        </w:rPr>
        <w:instrText xml:space="preserve">= 1 \* GB3</w:instrText>
      </w:r>
      <w:r>
        <w:rPr>
          <w:color w:val="000000" w:themeColor="text1"/>
          <w:sz w:val="28"/>
          <w:szCs w:val="28"/>
        </w:rPr>
        <w:instrText xml:space="preserve"> </w:instrText>
      </w:r>
      <w:r>
        <w:rPr>
          <w:color w:val="000000" w:themeColor="text1"/>
          <w:sz w:val="28"/>
          <w:szCs w:val="28"/>
        </w:rPr>
        <w:fldChar w:fldCharType="separate"/>
      </w:r>
      <w:r>
        <w:rPr>
          <w:rFonts w:hint="eastAsia"/>
          <w:color w:val="000000" w:themeColor="text1"/>
          <w:sz w:val="28"/>
          <w:szCs w:val="28"/>
        </w:rPr>
        <w:t>①</w:t>
      </w:r>
      <w:r>
        <w:rPr>
          <w:color w:val="000000" w:themeColor="text1"/>
          <w:sz w:val="28"/>
          <w:szCs w:val="28"/>
        </w:rPr>
        <w:fldChar w:fldCharType="end"/>
      </w:r>
      <w:r>
        <w:rPr>
          <w:color w:val="000000" w:themeColor="text1"/>
          <w:sz w:val="28"/>
          <w:szCs w:val="28"/>
        </w:rPr>
        <w:t>龙山县的洛塔、红岩溪和永顺的首车为中心的高值区，年降水量为</w:t>
      </w:r>
      <w:r>
        <w:rPr>
          <w:rFonts w:hint="eastAsia"/>
          <w:color w:val="000000" w:themeColor="text1"/>
          <w:sz w:val="28"/>
          <w:szCs w:val="28"/>
        </w:rPr>
        <w:t>2200-2300mm；</w:t>
      </w:r>
      <w:r>
        <w:rPr>
          <w:color w:val="000000" w:themeColor="text1"/>
          <w:sz w:val="28"/>
          <w:szCs w:val="28"/>
        </w:rPr>
        <w:fldChar w:fldCharType="begin"/>
      </w:r>
      <w:r>
        <w:rPr>
          <w:color w:val="000000" w:themeColor="text1"/>
          <w:sz w:val="28"/>
          <w:szCs w:val="28"/>
        </w:rPr>
        <w:instrText xml:space="preserve"> </w:instrText>
      </w:r>
      <w:r>
        <w:rPr>
          <w:rFonts w:hint="eastAsia"/>
          <w:color w:val="000000" w:themeColor="text1"/>
          <w:sz w:val="28"/>
          <w:szCs w:val="28"/>
        </w:rPr>
        <w:instrText xml:space="preserve">= 2 \* GB3</w:instrText>
      </w:r>
      <w:r>
        <w:rPr>
          <w:color w:val="000000" w:themeColor="text1"/>
          <w:sz w:val="28"/>
          <w:szCs w:val="28"/>
        </w:rPr>
        <w:instrText xml:space="preserve"> </w:instrText>
      </w:r>
      <w:r>
        <w:rPr>
          <w:color w:val="000000" w:themeColor="text1"/>
          <w:sz w:val="28"/>
          <w:szCs w:val="28"/>
        </w:rPr>
        <w:fldChar w:fldCharType="separate"/>
      </w:r>
      <w:r>
        <w:rPr>
          <w:rFonts w:hint="eastAsia"/>
          <w:color w:val="000000" w:themeColor="text1"/>
          <w:sz w:val="28"/>
          <w:szCs w:val="28"/>
        </w:rPr>
        <w:t>②</w:t>
      </w:r>
      <w:r>
        <w:rPr>
          <w:color w:val="000000" w:themeColor="text1"/>
          <w:sz w:val="28"/>
          <w:szCs w:val="28"/>
        </w:rPr>
        <w:fldChar w:fldCharType="end"/>
      </w:r>
      <w:r>
        <w:rPr>
          <w:color w:val="000000" w:themeColor="text1"/>
          <w:sz w:val="28"/>
          <w:szCs w:val="28"/>
        </w:rPr>
        <w:t>永顺羊峰山、青天坪为中心的高值区，年降水量为</w:t>
      </w:r>
      <w:r>
        <w:rPr>
          <w:rFonts w:hint="eastAsia"/>
          <w:color w:val="000000" w:themeColor="text1"/>
          <w:sz w:val="28"/>
          <w:szCs w:val="28"/>
        </w:rPr>
        <w:t>2200-2300mm。</w:t>
      </w:r>
    </w:p>
    <w:p>
      <w:pPr>
        <w:ind w:firstLine="421" w:firstLineChars="150"/>
        <w:rPr>
          <w:b/>
          <w:color w:val="000000" w:themeColor="text1"/>
          <w:sz w:val="28"/>
          <w:szCs w:val="28"/>
        </w:rPr>
      </w:pPr>
      <w:r>
        <w:rPr>
          <w:rFonts w:hint="eastAsia"/>
          <w:b/>
          <w:color w:val="000000" w:themeColor="text1"/>
          <w:sz w:val="28"/>
          <w:szCs w:val="28"/>
        </w:rPr>
        <w:t>低值区</w:t>
      </w:r>
    </w:p>
    <w:p>
      <w:pPr>
        <w:ind w:firstLine="420" w:firstLineChars="150"/>
        <w:rPr>
          <w:color w:val="000000" w:themeColor="text1"/>
          <w:sz w:val="28"/>
          <w:szCs w:val="28"/>
        </w:rPr>
      </w:pPr>
      <w:r>
        <w:rPr>
          <w:color w:val="000000" w:themeColor="text1"/>
          <w:sz w:val="28"/>
          <w:szCs w:val="28"/>
        </w:rPr>
        <w:t>南部凤凰县的夺溪、凤凰（二）和茨岩为中心低值区，年降雨量为</w:t>
      </w:r>
      <w:r>
        <w:rPr>
          <w:rFonts w:hint="eastAsia"/>
          <w:color w:val="000000" w:themeColor="text1"/>
          <w:sz w:val="28"/>
          <w:szCs w:val="28"/>
        </w:rPr>
        <w:t>1500-1700mm。</w:t>
      </w:r>
    </w:p>
    <w:p>
      <w:pPr>
        <w:ind w:firstLine="421" w:firstLineChars="150"/>
        <w:rPr>
          <w:b/>
          <w:color w:val="000000" w:themeColor="text1"/>
          <w:sz w:val="28"/>
          <w:szCs w:val="28"/>
        </w:rPr>
      </w:pPr>
      <w:r>
        <w:rPr>
          <w:rFonts w:hint="eastAsia"/>
          <w:b/>
          <w:color w:val="000000" w:themeColor="text1"/>
          <w:sz w:val="28"/>
          <w:szCs w:val="28"/>
        </w:rPr>
        <w:t>降水量年内分配不均</w:t>
      </w:r>
    </w:p>
    <w:p>
      <w:pPr>
        <w:ind w:firstLine="420" w:firstLineChars="150"/>
        <w:rPr>
          <w:color w:val="000000" w:themeColor="text1"/>
          <w:sz w:val="28"/>
          <w:szCs w:val="28"/>
        </w:rPr>
      </w:pPr>
      <w:r>
        <w:rPr>
          <w:rFonts w:hint="eastAsia"/>
          <w:color w:val="000000" w:themeColor="text1"/>
          <w:sz w:val="28"/>
          <w:szCs w:val="28"/>
        </w:rPr>
        <w:t>全州汛期降水量占全年的76.1%，连续最大4个月降水多集中在6~9月占全年的62.9%。</w:t>
      </w:r>
    </w:p>
    <w:p>
      <w:pPr>
        <w:ind w:firstLine="420" w:firstLineChars="150"/>
        <w:rPr>
          <w:color w:val="000000" w:themeColor="text1"/>
          <w:sz w:val="28"/>
          <w:szCs w:val="28"/>
        </w:rPr>
      </w:pPr>
      <w:r>
        <w:rPr>
          <w:rFonts w:hint="eastAsia"/>
          <w:color w:val="000000" w:themeColor="text1"/>
          <w:sz w:val="28"/>
          <w:szCs w:val="28"/>
        </w:rPr>
        <w:t>2020年各分区年降雨量与2019年、多年平均比较见表1，2020年全州年降雨量等值线图见图3，年降水量距平（与多年平均比较）等值线图见图4，2020年全州主要河流代表站月降水量分布图见图5。</w:t>
      </w:r>
    </w:p>
    <w:tbl>
      <w:tblPr>
        <w:tblStyle w:val="11"/>
        <w:tblW w:w="8510" w:type="dxa"/>
        <w:tblInd w:w="103" w:type="dxa"/>
        <w:tblLayout w:type="fixed"/>
        <w:tblCellMar>
          <w:top w:w="0" w:type="dxa"/>
          <w:left w:w="108" w:type="dxa"/>
          <w:bottom w:w="0" w:type="dxa"/>
          <w:right w:w="108" w:type="dxa"/>
        </w:tblCellMar>
      </w:tblPr>
      <w:tblGrid>
        <w:gridCol w:w="572"/>
        <w:gridCol w:w="1134"/>
        <w:gridCol w:w="851"/>
        <w:gridCol w:w="1044"/>
        <w:gridCol w:w="948"/>
        <w:gridCol w:w="990"/>
        <w:gridCol w:w="990"/>
        <w:gridCol w:w="990"/>
        <w:gridCol w:w="991"/>
      </w:tblGrid>
      <w:tr>
        <w:tblPrEx>
          <w:tblCellMar>
            <w:top w:w="0" w:type="dxa"/>
            <w:left w:w="108" w:type="dxa"/>
            <w:bottom w:w="0" w:type="dxa"/>
            <w:right w:w="108" w:type="dxa"/>
          </w:tblCellMar>
        </w:tblPrEx>
        <w:trPr>
          <w:trHeight w:val="540" w:hRule="atLeast"/>
        </w:trPr>
        <w:tc>
          <w:tcPr>
            <w:tcW w:w="1706" w:type="dxa"/>
            <w:gridSpan w:val="2"/>
            <w:vMerge w:val="restart"/>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cs="宋体"/>
                <w:b/>
                <w:bCs/>
                <w:kern w:val="0"/>
                <w:sz w:val="24"/>
                <w:szCs w:val="24"/>
              </w:rPr>
            </w:pPr>
            <w:r>
              <w:rPr>
                <w:rFonts w:hint="eastAsia" w:cs="宋体"/>
                <w:b/>
                <w:bCs/>
                <w:kern w:val="0"/>
                <w:sz w:val="24"/>
                <w:szCs w:val="24"/>
              </w:rPr>
              <w:t>分区名称</w:t>
            </w:r>
          </w:p>
        </w:tc>
        <w:tc>
          <w:tcPr>
            <w:tcW w:w="851" w:type="dxa"/>
            <w:tcBorders>
              <w:top w:val="single" w:color="auto" w:sz="4" w:space="0"/>
              <w:left w:val="nil"/>
              <w:bottom w:val="single" w:color="auto" w:sz="4" w:space="0"/>
              <w:right w:val="single" w:color="auto" w:sz="4" w:space="0"/>
            </w:tcBorders>
            <w:shd w:val="clear" w:color="auto" w:fill="auto"/>
            <w:vAlign w:val="center"/>
          </w:tcPr>
          <w:p>
            <w:pPr>
              <w:widowControl/>
              <w:jc w:val="left"/>
              <w:rPr>
                <w:rFonts w:cs="宋体"/>
                <w:b/>
                <w:bCs/>
                <w:kern w:val="0"/>
                <w:sz w:val="24"/>
                <w:szCs w:val="24"/>
              </w:rPr>
            </w:pPr>
            <w:r>
              <w:rPr>
                <w:rFonts w:hint="eastAsia" w:cs="宋体"/>
                <w:b/>
                <w:bCs/>
                <w:kern w:val="0"/>
                <w:sz w:val="24"/>
                <w:szCs w:val="24"/>
              </w:rPr>
              <w:t>面积</w:t>
            </w:r>
          </w:p>
        </w:tc>
        <w:tc>
          <w:tcPr>
            <w:tcW w:w="1992" w:type="dxa"/>
            <w:gridSpan w:val="2"/>
            <w:tcBorders>
              <w:top w:val="single" w:color="auto" w:sz="4" w:space="0"/>
              <w:left w:val="nil"/>
              <w:bottom w:val="single" w:color="auto" w:sz="4" w:space="0"/>
              <w:right w:val="single" w:color="auto" w:sz="4" w:space="0"/>
            </w:tcBorders>
            <w:shd w:val="clear" w:color="auto" w:fill="auto"/>
            <w:vAlign w:val="center"/>
          </w:tcPr>
          <w:p>
            <w:pPr>
              <w:widowControl/>
              <w:jc w:val="center"/>
              <w:rPr>
                <w:rFonts w:cs="宋体"/>
                <w:b/>
                <w:bCs/>
                <w:kern w:val="0"/>
                <w:sz w:val="24"/>
                <w:szCs w:val="24"/>
              </w:rPr>
            </w:pPr>
            <w:r>
              <w:rPr>
                <w:rFonts w:hint="eastAsia" w:cs="宋体"/>
                <w:b/>
                <w:bCs/>
                <w:kern w:val="0"/>
                <w:sz w:val="24"/>
                <w:szCs w:val="24"/>
              </w:rPr>
              <w:t>当年降水量</w:t>
            </w:r>
          </w:p>
        </w:tc>
        <w:tc>
          <w:tcPr>
            <w:tcW w:w="990" w:type="dxa"/>
            <w:tcBorders>
              <w:top w:val="single" w:color="auto" w:sz="4" w:space="0"/>
              <w:left w:val="nil"/>
              <w:bottom w:val="single" w:color="auto" w:sz="4" w:space="0"/>
              <w:right w:val="single" w:color="auto" w:sz="4" w:space="0"/>
            </w:tcBorders>
            <w:shd w:val="clear" w:color="auto" w:fill="auto"/>
            <w:vAlign w:val="center"/>
          </w:tcPr>
          <w:p>
            <w:pPr>
              <w:widowControl/>
              <w:jc w:val="left"/>
              <w:rPr>
                <w:rFonts w:cs="宋体"/>
                <w:b/>
                <w:bCs/>
                <w:kern w:val="0"/>
                <w:sz w:val="24"/>
                <w:szCs w:val="24"/>
              </w:rPr>
            </w:pPr>
            <w:r>
              <w:rPr>
                <w:rFonts w:hint="eastAsia" w:cs="宋体"/>
                <w:b/>
                <w:bCs/>
                <w:kern w:val="0"/>
                <w:sz w:val="24"/>
                <w:szCs w:val="24"/>
              </w:rPr>
              <w:t>2019年降水量</w:t>
            </w:r>
          </w:p>
        </w:tc>
        <w:tc>
          <w:tcPr>
            <w:tcW w:w="990" w:type="dxa"/>
            <w:tcBorders>
              <w:top w:val="single" w:color="auto" w:sz="4" w:space="0"/>
              <w:left w:val="nil"/>
              <w:bottom w:val="single" w:color="auto" w:sz="4" w:space="0"/>
              <w:right w:val="single" w:color="auto" w:sz="4" w:space="0"/>
            </w:tcBorders>
            <w:shd w:val="clear" w:color="auto" w:fill="auto"/>
            <w:vAlign w:val="center"/>
          </w:tcPr>
          <w:p>
            <w:pPr>
              <w:widowControl/>
              <w:jc w:val="left"/>
              <w:rPr>
                <w:rFonts w:cs="宋体"/>
                <w:b/>
                <w:bCs/>
                <w:kern w:val="0"/>
                <w:sz w:val="24"/>
                <w:szCs w:val="24"/>
              </w:rPr>
            </w:pPr>
            <w:r>
              <w:rPr>
                <w:rFonts w:hint="eastAsia" w:cs="宋体"/>
                <w:b/>
                <w:bCs/>
                <w:kern w:val="0"/>
                <w:sz w:val="24"/>
                <w:szCs w:val="24"/>
              </w:rPr>
              <w:t>多年平均降水量</w:t>
            </w:r>
          </w:p>
        </w:tc>
        <w:tc>
          <w:tcPr>
            <w:tcW w:w="990" w:type="dxa"/>
            <w:tcBorders>
              <w:top w:val="single" w:color="auto" w:sz="4" w:space="0"/>
              <w:left w:val="nil"/>
              <w:bottom w:val="single" w:color="auto" w:sz="4" w:space="0"/>
              <w:right w:val="single" w:color="auto" w:sz="4" w:space="0"/>
            </w:tcBorders>
            <w:shd w:val="clear" w:color="auto" w:fill="auto"/>
            <w:vAlign w:val="center"/>
          </w:tcPr>
          <w:p>
            <w:pPr>
              <w:widowControl/>
              <w:jc w:val="left"/>
              <w:rPr>
                <w:rFonts w:cs="宋体"/>
                <w:b/>
                <w:bCs/>
                <w:kern w:val="0"/>
                <w:sz w:val="24"/>
                <w:szCs w:val="24"/>
              </w:rPr>
            </w:pPr>
            <w:r>
              <w:rPr>
                <w:rFonts w:hint="eastAsia" w:cs="宋体"/>
                <w:b/>
                <w:bCs/>
                <w:kern w:val="0"/>
                <w:sz w:val="24"/>
                <w:szCs w:val="24"/>
              </w:rPr>
              <w:t>与2019年比较</w:t>
            </w:r>
          </w:p>
        </w:tc>
        <w:tc>
          <w:tcPr>
            <w:tcW w:w="991" w:type="dxa"/>
            <w:tcBorders>
              <w:top w:val="single" w:color="auto" w:sz="4" w:space="0"/>
              <w:left w:val="nil"/>
              <w:bottom w:val="single" w:color="auto" w:sz="4" w:space="0"/>
              <w:right w:val="single" w:color="auto" w:sz="4" w:space="0"/>
            </w:tcBorders>
            <w:shd w:val="clear" w:color="auto" w:fill="auto"/>
            <w:vAlign w:val="center"/>
          </w:tcPr>
          <w:p>
            <w:pPr>
              <w:widowControl/>
              <w:jc w:val="left"/>
              <w:rPr>
                <w:rFonts w:cs="宋体"/>
                <w:b/>
                <w:bCs/>
                <w:kern w:val="0"/>
                <w:sz w:val="24"/>
                <w:szCs w:val="24"/>
              </w:rPr>
            </w:pPr>
            <w:r>
              <w:rPr>
                <w:rFonts w:hint="eastAsia" w:cs="宋体"/>
                <w:b/>
                <w:bCs/>
                <w:kern w:val="0"/>
                <w:sz w:val="24"/>
                <w:szCs w:val="24"/>
              </w:rPr>
              <w:t>与多年平均比较</w:t>
            </w:r>
          </w:p>
        </w:tc>
      </w:tr>
      <w:tr>
        <w:tblPrEx>
          <w:tblCellMar>
            <w:top w:w="0" w:type="dxa"/>
            <w:left w:w="108" w:type="dxa"/>
            <w:bottom w:w="0" w:type="dxa"/>
            <w:right w:w="108" w:type="dxa"/>
          </w:tblCellMar>
        </w:tblPrEx>
        <w:trPr>
          <w:trHeight w:val="270" w:hRule="atLeast"/>
        </w:trPr>
        <w:tc>
          <w:tcPr>
            <w:tcW w:w="1706" w:type="dxa"/>
            <w:gridSpan w:val="2"/>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cs="宋体"/>
                <w:b/>
                <w:bCs/>
                <w:kern w:val="0"/>
                <w:sz w:val="24"/>
                <w:szCs w:val="24"/>
              </w:rPr>
            </w:pPr>
          </w:p>
        </w:tc>
        <w:tc>
          <w:tcPr>
            <w:tcW w:w="851" w:type="dxa"/>
            <w:tcBorders>
              <w:top w:val="nil"/>
              <w:left w:val="nil"/>
              <w:bottom w:val="single" w:color="auto" w:sz="4" w:space="0"/>
              <w:right w:val="single" w:color="auto" w:sz="4" w:space="0"/>
            </w:tcBorders>
            <w:shd w:val="clear" w:color="auto" w:fill="auto"/>
            <w:vAlign w:val="center"/>
          </w:tcPr>
          <w:p>
            <w:pPr>
              <w:widowControl/>
              <w:jc w:val="center"/>
              <w:rPr>
                <w:rFonts w:cs="宋体"/>
                <w:bCs/>
                <w:kern w:val="0"/>
                <w:sz w:val="24"/>
                <w:szCs w:val="24"/>
              </w:rPr>
            </w:pPr>
            <w:r>
              <w:rPr>
                <w:rFonts w:hint="eastAsia" w:cs="宋体"/>
                <w:bCs/>
                <w:kern w:val="0"/>
                <w:sz w:val="24"/>
                <w:szCs w:val="24"/>
              </w:rPr>
              <w:t>k㎡</w:t>
            </w:r>
          </w:p>
        </w:tc>
        <w:tc>
          <w:tcPr>
            <w:tcW w:w="1044" w:type="dxa"/>
            <w:tcBorders>
              <w:top w:val="nil"/>
              <w:left w:val="nil"/>
              <w:bottom w:val="single" w:color="auto" w:sz="4" w:space="0"/>
              <w:right w:val="single" w:color="auto" w:sz="4" w:space="0"/>
            </w:tcBorders>
            <w:shd w:val="clear" w:color="auto" w:fill="auto"/>
            <w:vAlign w:val="center"/>
          </w:tcPr>
          <w:p>
            <w:pPr>
              <w:widowControl/>
              <w:jc w:val="center"/>
              <w:rPr>
                <w:rFonts w:cs="宋体"/>
                <w:bCs/>
                <w:kern w:val="0"/>
                <w:sz w:val="24"/>
                <w:szCs w:val="24"/>
              </w:rPr>
            </w:pPr>
            <w:r>
              <w:rPr>
                <w:rFonts w:hint="eastAsia" w:cs="宋体"/>
                <w:bCs/>
                <w:kern w:val="0"/>
                <w:sz w:val="24"/>
                <w:szCs w:val="24"/>
              </w:rPr>
              <w:t>mm</w:t>
            </w:r>
          </w:p>
        </w:tc>
        <w:tc>
          <w:tcPr>
            <w:tcW w:w="948" w:type="dxa"/>
            <w:tcBorders>
              <w:top w:val="nil"/>
              <w:left w:val="nil"/>
              <w:bottom w:val="single" w:color="auto" w:sz="4" w:space="0"/>
              <w:right w:val="single" w:color="auto" w:sz="4" w:space="0"/>
            </w:tcBorders>
            <w:shd w:val="clear" w:color="auto" w:fill="auto"/>
            <w:vAlign w:val="center"/>
          </w:tcPr>
          <w:p>
            <w:pPr>
              <w:widowControl/>
              <w:jc w:val="center"/>
              <w:rPr>
                <w:rFonts w:cs="宋体"/>
                <w:bCs/>
                <w:kern w:val="0"/>
                <w:sz w:val="24"/>
                <w:szCs w:val="24"/>
              </w:rPr>
            </w:pPr>
            <w:r>
              <w:rPr>
                <w:rFonts w:hint="eastAsia" w:cs="宋体"/>
                <w:bCs/>
                <w:kern w:val="0"/>
                <w:sz w:val="24"/>
                <w:szCs w:val="24"/>
              </w:rPr>
              <w:t>亿m³</w:t>
            </w:r>
          </w:p>
        </w:tc>
        <w:tc>
          <w:tcPr>
            <w:tcW w:w="990" w:type="dxa"/>
            <w:tcBorders>
              <w:top w:val="nil"/>
              <w:left w:val="nil"/>
              <w:bottom w:val="single" w:color="auto" w:sz="4" w:space="0"/>
              <w:right w:val="single" w:color="auto" w:sz="4" w:space="0"/>
            </w:tcBorders>
            <w:shd w:val="clear" w:color="auto" w:fill="auto"/>
            <w:vAlign w:val="center"/>
          </w:tcPr>
          <w:p>
            <w:pPr>
              <w:widowControl/>
              <w:jc w:val="center"/>
              <w:rPr>
                <w:rFonts w:cs="宋体"/>
                <w:bCs/>
                <w:kern w:val="0"/>
                <w:sz w:val="24"/>
                <w:szCs w:val="24"/>
              </w:rPr>
            </w:pPr>
            <w:r>
              <w:rPr>
                <w:rFonts w:hint="eastAsia" w:cs="宋体"/>
                <w:bCs/>
                <w:kern w:val="0"/>
                <w:sz w:val="24"/>
                <w:szCs w:val="24"/>
              </w:rPr>
              <w:t>亿m³</w:t>
            </w:r>
          </w:p>
        </w:tc>
        <w:tc>
          <w:tcPr>
            <w:tcW w:w="990" w:type="dxa"/>
            <w:tcBorders>
              <w:top w:val="nil"/>
              <w:left w:val="nil"/>
              <w:bottom w:val="single" w:color="auto" w:sz="4" w:space="0"/>
              <w:right w:val="single" w:color="auto" w:sz="4" w:space="0"/>
            </w:tcBorders>
            <w:shd w:val="clear" w:color="auto" w:fill="auto"/>
            <w:vAlign w:val="center"/>
          </w:tcPr>
          <w:p>
            <w:pPr>
              <w:widowControl/>
              <w:jc w:val="center"/>
              <w:rPr>
                <w:rFonts w:cs="宋体"/>
                <w:bCs/>
                <w:kern w:val="0"/>
                <w:sz w:val="24"/>
                <w:szCs w:val="24"/>
              </w:rPr>
            </w:pPr>
            <w:r>
              <w:rPr>
                <w:rFonts w:hint="eastAsia" w:cs="宋体"/>
                <w:bCs/>
                <w:kern w:val="0"/>
                <w:sz w:val="24"/>
                <w:szCs w:val="24"/>
              </w:rPr>
              <w:t>亿m³</w:t>
            </w:r>
          </w:p>
        </w:tc>
        <w:tc>
          <w:tcPr>
            <w:tcW w:w="990" w:type="dxa"/>
            <w:tcBorders>
              <w:top w:val="nil"/>
              <w:left w:val="nil"/>
              <w:bottom w:val="single" w:color="auto" w:sz="4" w:space="0"/>
              <w:right w:val="single" w:color="auto" w:sz="4" w:space="0"/>
            </w:tcBorders>
            <w:shd w:val="clear" w:color="auto" w:fill="auto"/>
            <w:vAlign w:val="center"/>
          </w:tcPr>
          <w:p>
            <w:pPr>
              <w:widowControl/>
              <w:jc w:val="center"/>
              <w:rPr>
                <w:rFonts w:cs="宋体"/>
                <w:bCs/>
                <w:kern w:val="0"/>
                <w:sz w:val="24"/>
                <w:szCs w:val="24"/>
              </w:rPr>
            </w:pPr>
            <w:r>
              <w:rPr>
                <w:rFonts w:hint="eastAsia" w:cs="宋体"/>
                <w:bCs/>
                <w:kern w:val="0"/>
                <w:sz w:val="24"/>
                <w:szCs w:val="24"/>
              </w:rPr>
              <w:t>%</w:t>
            </w:r>
          </w:p>
        </w:tc>
        <w:tc>
          <w:tcPr>
            <w:tcW w:w="991" w:type="dxa"/>
            <w:tcBorders>
              <w:top w:val="nil"/>
              <w:left w:val="nil"/>
              <w:bottom w:val="single" w:color="auto" w:sz="4" w:space="0"/>
              <w:right w:val="single" w:color="auto" w:sz="4" w:space="0"/>
            </w:tcBorders>
            <w:shd w:val="clear" w:color="auto" w:fill="auto"/>
            <w:vAlign w:val="center"/>
          </w:tcPr>
          <w:p>
            <w:pPr>
              <w:widowControl/>
              <w:jc w:val="center"/>
              <w:rPr>
                <w:rFonts w:cs="宋体"/>
                <w:bCs/>
                <w:kern w:val="0"/>
                <w:sz w:val="24"/>
                <w:szCs w:val="24"/>
              </w:rPr>
            </w:pPr>
            <w:r>
              <w:rPr>
                <w:rFonts w:hint="eastAsia" w:cs="宋体"/>
                <w:bCs/>
                <w:kern w:val="0"/>
                <w:sz w:val="24"/>
                <w:szCs w:val="24"/>
              </w:rPr>
              <w:t>%</w:t>
            </w:r>
          </w:p>
        </w:tc>
      </w:tr>
      <w:tr>
        <w:tblPrEx>
          <w:tblCellMar>
            <w:top w:w="0" w:type="dxa"/>
            <w:left w:w="108" w:type="dxa"/>
            <w:bottom w:w="0" w:type="dxa"/>
            <w:right w:w="108" w:type="dxa"/>
          </w:tblCellMar>
        </w:tblPrEx>
        <w:trPr>
          <w:trHeight w:val="490" w:hRule="atLeast"/>
        </w:trPr>
        <w:tc>
          <w:tcPr>
            <w:tcW w:w="572" w:type="dxa"/>
            <w:vMerge w:val="restart"/>
            <w:tcBorders>
              <w:top w:val="nil"/>
              <w:left w:val="single" w:color="auto" w:sz="4" w:space="0"/>
              <w:bottom w:val="single" w:color="auto" w:sz="4" w:space="0"/>
              <w:right w:val="single" w:color="auto" w:sz="4" w:space="0"/>
            </w:tcBorders>
            <w:shd w:val="clear" w:color="auto" w:fill="auto"/>
            <w:noWrap/>
            <w:vAlign w:val="center"/>
          </w:tcPr>
          <w:p>
            <w:pPr>
              <w:widowControl/>
              <w:jc w:val="center"/>
              <w:rPr>
                <w:rFonts w:cs="宋体"/>
                <w:kern w:val="0"/>
                <w:sz w:val="24"/>
                <w:szCs w:val="24"/>
              </w:rPr>
            </w:pPr>
            <w:r>
              <w:rPr>
                <w:rFonts w:hint="eastAsia" w:cs="宋体"/>
                <w:kern w:val="0"/>
                <w:sz w:val="24"/>
                <w:szCs w:val="24"/>
              </w:rPr>
              <w:t>行政分区</w:t>
            </w:r>
          </w:p>
        </w:tc>
        <w:tc>
          <w:tcPr>
            <w:tcW w:w="1134" w:type="dxa"/>
            <w:tcBorders>
              <w:top w:val="nil"/>
              <w:left w:val="nil"/>
              <w:bottom w:val="single" w:color="auto" w:sz="4" w:space="0"/>
              <w:right w:val="single" w:color="auto" w:sz="4" w:space="0"/>
            </w:tcBorders>
            <w:shd w:val="clear" w:color="auto" w:fill="auto"/>
            <w:vAlign w:val="center"/>
          </w:tcPr>
          <w:p>
            <w:pPr>
              <w:widowControl/>
              <w:jc w:val="left"/>
              <w:rPr>
                <w:rFonts w:cs="宋体"/>
                <w:kern w:val="0"/>
                <w:sz w:val="24"/>
                <w:szCs w:val="24"/>
              </w:rPr>
            </w:pPr>
            <w:r>
              <w:rPr>
                <w:rFonts w:hint="eastAsia" w:cs="宋体"/>
                <w:kern w:val="0"/>
                <w:sz w:val="24"/>
                <w:szCs w:val="24"/>
              </w:rPr>
              <w:t>吉首市</w:t>
            </w:r>
          </w:p>
        </w:tc>
        <w:tc>
          <w:tcPr>
            <w:tcW w:w="851"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1062</w:t>
            </w:r>
          </w:p>
        </w:tc>
        <w:tc>
          <w:tcPr>
            <w:tcW w:w="1044"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1967.2</w:t>
            </w:r>
          </w:p>
        </w:tc>
        <w:tc>
          <w:tcPr>
            <w:tcW w:w="948"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20.89</w:t>
            </w:r>
          </w:p>
        </w:tc>
        <w:tc>
          <w:tcPr>
            <w:tcW w:w="99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15.2</w:t>
            </w:r>
          </w:p>
        </w:tc>
        <w:tc>
          <w:tcPr>
            <w:tcW w:w="99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15.25</w:t>
            </w:r>
          </w:p>
        </w:tc>
        <w:tc>
          <w:tcPr>
            <w:tcW w:w="99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37.4</w:t>
            </w:r>
          </w:p>
        </w:tc>
        <w:tc>
          <w:tcPr>
            <w:tcW w:w="991"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37.0</w:t>
            </w:r>
          </w:p>
        </w:tc>
      </w:tr>
      <w:tr>
        <w:tblPrEx>
          <w:tblCellMar>
            <w:top w:w="0" w:type="dxa"/>
            <w:left w:w="108" w:type="dxa"/>
            <w:bottom w:w="0" w:type="dxa"/>
            <w:right w:w="108" w:type="dxa"/>
          </w:tblCellMar>
        </w:tblPrEx>
        <w:trPr>
          <w:trHeight w:val="490" w:hRule="atLeast"/>
        </w:trPr>
        <w:tc>
          <w:tcPr>
            <w:tcW w:w="572" w:type="dxa"/>
            <w:vMerge w:val="continue"/>
            <w:tcBorders>
              <w:top w:val="nil"/>
              <w:left w:val="single" w:color="auto" w:sz="4" w:space="0"/>
              <w:bottom w:val="single" w:color="auto" w:sz="4" w:space="0"/>
              <w:right w:val="single" w:color="auto" w:sz="4" w:space="0"/>
            </w:tcBorders>
            <w:vAlign w:val="center"/>
          </w:tcPr>
          <w:p>
            <w:pPr>
              <w:widowControl/>
              <w:jc w:val="left"/>
              <w:rPr>
                <w:rFonts w:cs="宋体"/>
                <w:kern w:val="0"/>
                <w:sz w:val="24"/>
                <w:szCs w:val="24"/>
              </w:rPr>
            </w:pPr>
          </w:p>
        </w:tc>
        <w:tc>
          <w:tcPr>
            <w:tcW w:w="1134" w:type="dxa"/>
            <w:tcBorders>
              <w:top w:val="nil"/>
              <w:left w:val="nil"/>
              <w:bottom w:val="single" w:color="auto" w:sz="4" w:space="0"/>
              <w:right w:val="single" w:color="auto" w:sz="4" w:space="0"/>
            </w:tcBorders>
            <w:shd w:val="clear" w:color="auto" w:fill="auto"/>
            <w:vAlign w:val="center"/>
          </w:tcPr>
          <w:p>
            <w:pPr>
              <w:widowControl/>
              <w:jc w:val="left"/>
              <w:rPr>
                <w:rFonts w:cs="宋体"/>
                <w:kern w:val="0"/>
                <w:sz w:val="24"/>
                <w:szCs w:val="24"/>
              </w:rPr>
            </w:pPr>
            <w:r>
              <w:rPr>
                <w:rFonts w:hint="eastAsia" w:cs="宋体"/>
                <w:kern w:val="0"/>
                <w:sz w:val="24"/>
                <w:szCs w:val="24"/>
              </w:rPr>
              <w:t>泸溪县</w:t>
            </w:r>
          </w:p>
        </w:tc>
        <w:tc>
          <w:tcPr>
            <w:tcW w:w="851"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1569</w:t>
            </w:r>
          </w:p>
        </w:tc>
        <w:tc>
          <w:tcPr>
            <w:tcW w:w="1044"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1980.2</w:t>
            </w:r>
          </w:p>
        </w:tc>
        <w:tc>
          <w:tcPr>
            <w:tcW w:w="948"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31.07</w:t>
            </w:r>
          </w:p>
        </w:tc>
        <w:tc>
          <w:tcPr>
            <w:tcW w:w="99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20.09</w:t>
            </w:r>
          </w:p>
        </w:tc>
        <w:tc>
          <w:tcPr>
            <w:tcW w:w="99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21.28</w:t>
            </w:r>
          </w:p>
        </w:tc>
        <w:tc>
          <w:tcPr>
            <w:tcW w:w="99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54.7</w:t>
            </w:r>
          </w:p>
        </w:tc>
        <w:tc>
          <w:tcPr>
            <w:tcW w:w="991"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46.0</w:t>
            </w:r>
          </w:p>
        </w:tc>
      </w:tr>
      <w:tr>
        <w:tblPrEx>
          <w:tblCellMar>
            <w:top w:w="0" w:type="dxa"/>
            <w:left w:w="108" w:type="dxa"/>
            <w:bottom w:w="0" w:type="dxa"/>
            <w:right w:w="108" w:type="dxa"/>
          </w:tblCellMar>
        </w:tblPrEx>
        <w:trPr>
          <w:trHeight w:val="490" w:hRule="atLeast"/>
        </w:trPr>
        <w:tc>
          <w:tcPr>
            <w:tcW w:w="572" w:type="dxa"/>
            <w:vMerge w:val="continue"/>
            <w:tcBorders>
              <w:top w:val="nil"/>
              <w:left w:val="single" w:color="auto" w:sz="4" w:space="0"/>
              <w:bottom w:val="single" w:color="auto" w:sz="4" w:space="0"/>
              <w:right w:val="single" w:color="auto" w:sz="4" w:space="0"/>
            </w:tcBorders>
            <w:vAlign w:val="center"/>
          </w:tcPr>
          <w:p>
            <w:pPr>
              <w:widowControl/>
              <w:jc w:val="left"/>
              <w:rPr>
                <w:rFonts w:cs="宋体"/>
                <w:kern w:val="0"/>
                <w:sz w:val="24"/>
                <w:szCs w:val="24"/>
              </w:rPr>
            </w:pPr>
          </w:p>
        </w:tc>
        <w:tc>
          <w:tcPr>
            <w:tcW w:w="1134" w:type="dxa"/>
            <w:tcBorders>
              <w:top w:val="nil"/>
              <w:left w:val="nil"/>
              <w:bottom w:val="single" w:color="auto" w:sz="4" w:space="0"/>
              <w:right w:val="single" w:color="auto" w:sz="4" w:space="0"/>
            </w:tcBorders>
            <w:shd w:val="clear" w:color="auto" w:fill="auto"/>
            <w:vAlign w:val="center"/>
          </w:tcPr>
          <w:p>
            <w:pPr>
              <w:widowControl/>
              <w:jc w:val="left"/>
              <w:rPr>
                <w:rFonts w:cs="宋体"/>
                <w:kern w:val="0"/>
                <w:sz w:val="24"/>
                <w:szCs w:val="24"/>
              </w:rPr>
            </w:pPr>
            <w:r>
              <w:rPr>
                <w:rFonts w:hint="eastAsia" w:cs="宋体"/>
                <w:kern w:val="0"/>
                <w:sz w:val="24"/>
                <w:szCs w:val="24"/>
              </w:rPr>
              <w:t>凤凰县</w:t>
            </w:r>
          </w:p>
        </w:tc>
        <w:tc>
          <w:tcPr>
            <w:tcW w:w="851"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1751</w:t>
            </w:r>
          </w:p>
        </w:tc>
        <w:tc>
          <w:tcPr>
            <w:tcW w:w="1044"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1742.9</w:t>
            </w:r>
          </w:p>
        </w:tc>
        <w:tc>
          <w:tcPr>
            <w:tcW w:w="948"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30.52</w:t>
            </w:r>
          </w:p>
        </w:tc>
        <w:tc>
          <w:tcPr>
            <w:tcW w:w="99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23.72</w:t>
            </w:r>
          </w:p>
        </w:tc>
        <w:tc>
          <w:tcPr>
            <w:tcW w:w="99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24.22</w:t>
            </w:r>
          </w:p>
        </w:tc>
        <w:tc>
          <w:tcPr>
            <w:tcW w:w="99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28.7</w:t>
            </w:r>
          </w:p>
        </w:tc>
        <w:tc>
          <w:tcPr>
            <w:tcW w:w="991"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26.0</w:t>
            </w:r>
          </w:p>
        </w:tc>
      </w:tr>
      <w:tr>
        <w:tblPrEx>
          <w:tblCellMar>
            <w:top w:w="0" w:type="dxa"/>
            <w:left w:w="108" w:type="dxa"/>
            <w:bottom w:w="0" w:type="dxa"/>
            <w:right w:w="108" w:type="dxa"/>
          </w:tblCellMar>
        </w:tblPrEx>
        <w:trPr>
          <w:trHeight w:val="490" w:hRule="atLeast"/>
        </w:trPr>
        <w:tc>
          <w:tcPr>
            <w:tcW w:w="572" w:type="dxa"/>
            <w:vMerge w:val="continue"/>
            <w:tcBorders>
              <w:top w:val="nil"/>
              <w:left w:val="single" w:color="auto" w:sz="4" w:space="0"/>
              <w:bottom w:val="single" w:color="auto" w:sz="4" w:space="0"/>
              <w:right w:val="single" w:color="auto" w:sz="4" w:space="0"/>
            </w:tcBorders>
            <w:vAlign w:val="center"/>
          </w:tcPr>
          <w:p>
            <w:pPr>
              <w:widowControl/>
              <w:jc w:val="left"/>
              <w:rPr>
                <w:rFonts w:cs="宋体"/>
                <w:kern w:val="0"/>
                <w:sz w:val="24"/>
                <w:szCs w:val="24"/>
              </w:rPr>
            </w:pPr>
          </w:p>
        </w:tc>
        <w:tc>
          <w:tcPr>
            <w:tcW w:w="1134" w:type="dxa"/>
            <w:tcBorders>
              <w:top w:val="nil"/>
              <w:left w:val="nil"/>
              <w:bottom w:val="single" w:color="auto" w:sz="4" w:space="0"/>
              <w:right w:val="single" w:color="auto" w:sz="4" w:space="0"/>
            </w:tcBorders>
            <w:shd w:val="clear" w:color="auto" w:fill="auto"/>
            <w:vAlign w:val="center"/>
          </w:tcPr>
          <w:p>
            <w:pPr>
              <w:widowControl/>
              <w:jc w:val="left"/>
              <w:rPr>
                <w:rFonts w:cs="宋体"/>
                <w:kern w:val="0"/>
                <w:sz w:val="24"/>
                <w:szCs w:val="24"/>
              </w:rPr>
            </w:pPr>
            <w:r>
              <w:rPr>
                <w:rFonts w:hint="eastAsia" w:cs="宋体"/>
                <w:kern w:val="0"/>
                <w:sz w:val="24"/>
                <w:szCs w:val="24"/>
              </w:rPr>
              <w:t>花垣县</w:t>
            </w:r>
          </w:p>
        </w:tc>
        <w:tc>
          <w:tcPr>
            <w:tcW w:w="851"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1111</w:t>
            </w:r>
          </w:p>
        </w:tc>
        <w:tc>
          <w:tcPr>
            <w:tcW w:w="1044"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1923.9</w:t>
            </w:r>
          </w:p>
        </w:tc>
        <w:tc>
          <w:tcPr>
            <w:tcW w:w="948"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21.37</w:t>
            </w:r>
          </w:p>
        </w:tc>
        <w:tc>
          <w:tcPr>
            <w:tcW w:w="99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14.27</w:t>
            </w:r>
          </w:p>
        </w:tc>
        <w:tc>
          <w:tcPr>
            <w:tcW w:w="99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15.81</w:t>
            </w:r>
          </w:p>
        </w:tc>
        <w:tc>
          <w:tcPr>
            <w:tcW w:w="99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49.8</w:t>
            </w:r>
          </w:p>
        </w:tc>
        <w:tc>
          <w:tcPr>
            <w:tcW w:w="991"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35.2</w:t>
            </w:r>
          </w:p>
        </w:tc>
      </w:tr>
      <w:tr>
        <w:tblPrEx>
          <w:tblCellMar>
            <w:top w:w="0" w:type="dxa"/>
            <w:left w:w="108" w:type="dxa"/>
            <w:bottom w:w="0" w:type="dxa"/>
            <w:right w:w="108" w:type="dxa"/>
          </w:tblCellMar>
        </w:tblPrEx>
        <w:trPr>
          <w:trHeight w:val="490" w:hRule="atLeast"/>
        </w:trPr>
        <w:tc>
          <w:tcPr>
            <w:tcW w:w="572" w:type="dxa"/>
            <w:vMerge w:val="continue"/>
            <w:tcBorders>
              <w:top w:val="nil"/>
              <w:left w:val="single" w:color="auto" w:sz="4" w:space="0"/>
              <w:bottom w:val="single" w:color="auto" w:sz="4" w:space="0"/>
              <w:right w:val="single" w:color="auto" w:sz="4" w:space="0"/>
            </w:tcBorders>
            <w:vAlign w:val="center"/>
          </w:tcPr>
          <w:p>
            <w:pPr>
              <w:widowControl/>
              <w:jc w:val="left"/>
              <w:rPr>
                <w:rFonts w:cs="宋体"/>
                <w:kern w:val="0"/>
                <w:sz w:val="24"/>
                <w:szCs w:val="24"/>
              </w:rPr>
            </w:pPr>
          </w:p>
        </w:tc>
        <w:tc>
          <w:tcPr>
            <w:tcW w:w="1134" w:type="dxa"/>
            <w:tcBorders>
              <w:top w:val="nil"/>
              <w:left w:val="nil"/>
              <w:bottom w:val="single" w:color="auto" w:sz="4" w:space="0"/>
              <w:right w:val="single" w:color="auto" w:sz="4" w:space="0"/>
            </w:tcBorders>
            <w:shd w:val="clear" w:color="auto" w:fill="auto"/>
            <w:vAlign w:val="center"/>
          </w:tcPr>
          <w:p>
            <w:pPr>
              <w:widowControl/>
              <w:jc w:val="left"/>
              <w:rPr>
                <w:rFonts w:cs="宋体"/>
                <w:kern w:val="0"/>
                <w:sz w:val="24"/>
                <w:szCs w:val="24"/>
              </w:rPr>
            </w:pPr>
            <w:r>
              <w:rPr>
                <w:rFonts w:hint="eastAsia" w:cs="宋体"/>
                <w:kern w:val="0"/>
                <w:sz w:val="24"/>
                <w:szCs w:val="24"/>
              </w:rPr>
              <w:t>保靖县</w:t>
            </w:r>
          </w:p>
        </w:tc>
        <w:tc>
          <w:tcPr>
            <w:tcW w:w="851"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1746</w:t>
            </w:r>
          </w:p>
        </w:tc>
        <w:tc>
          <w:tcPr>
            <w:tcW w:w="1044"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1996.4</w:t>
            </w:r>
          </w:p>
        </w:tc>
        <w:tc>
          <w:tcPr>
            <w:tcW w:w="948"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34.86</w:t>
            </w:r>
          </w:p>
        </w:tc>
        <w:tc>
          <w:tcPr>
            <w:tcW w:w="99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20.92</w:t>
            </w:r>
          </w:p>
        </w:tc>
        <w:tc>
          <w:tcPr>
            <w:tcW w:w="99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23.74</w:t>
            </w:r>
          </w:p>
        </w:tc>
        <w:tc>
          <w:tcPr>
            <w:tcW w:w="99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66.6</w:t>
            </w:r>
          </w:p>
        </w:tc>
        <w:tc>
          <w:tcPr>
            <w:tcW w:w="991"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46.8</w:t>
            </w:r>
          </w:p>
        </w:tc>
      </w:tr>
      <w:tr>
        <w:tblPrEx>
          <w:tblCellMar>
            <w:top w:w="0" w:type="dxa"/>
            <w:left w:w="108" w:type="dxa"/>
            <w:bottom w:w="0" w:type="dxa"/>
            <w:right w:w="108" w:type="dxa"/>
          </w:tblCellMar>
        </w:tblPrEx>
        <w:trPr>
          <w:trHeight w:val="490" w:hRule="atLeast"/>
        </w:trPr>
        <w:tc>
          <w:tcPr>
            <w:tcW w:w="572" w:type="dxa"/>
            <w:vMerge w:val="continue"/>
            <w:tcBorders>
              <w:top w:val="nil"/>
              <w:left w:val="single" w:color="auto" w:sz="4" w:space="0"/>
              <w:bottom w:val="single" w:color="auto" w:sz="4" w:space="0"/>
              <w:right w:val="single" w:color="auto" w:sz="4" w:space="0"/>
            </w:tcBorders>
            <w:vAlign w:val="center"/>
          </w:tcPr>
          <w:p>
            <w:pPr>
              <w:widowControl/>
              <w:jc w:val="left"/>
              <w:rPr>
                <w:rFonts w:cs="宋体"/>
                <w:kern w:val="0"/>
                <w:sz w:val="24"/>
                <w:szCs w:val="24"/>
              </w:rPr>
            </w:pPr>
          </w:p>
        </w:tc>
        <w:tc>
          <w:tcPr>
            <w:tcW w:w="1134" w:type="dxa"/>
            <w:tcBorders>
              <w:top w:val="nil"/>
              <w:left w:val="nil"/>
              <w:bottom w:val="single" w:color="auto" w:sz="4" w:space="0"/>
              <w:right w:val="single" w:color="auto" w:sz="4" w:space="0"/>
            </w:tcBorders>
            <w:shd w:val="clear" w:color="auto" w:fill="auto"/>
            <w:vAlign w:val="center"/>
          </w:tcPr>
          <w:p>
            <w:pPr>
              <w:widowControl/>
              <w:jc w:val="left"/>
              <w:rPr>
                <w:rFonts w:cs="宋体"/>
                <w:kern w:val="0"/>
                <w:sz w:val="24"/>
                <w:szCs w:val="24"/>
              </w:rPr>
            </w:pPr>
            <w:r>
              <w:rPr>
                <w:rFonts w:hint="eastAsia" w:cs="宋体"/>
                <w:kern w:val="0"/>
                <w:sz w:val="24"/>
                <w:szCs w:val="24"/>
              </w:rPr>
              <w:t>古丈县</w:t>
            </w:r>
          </w:p>
        </w:tc>
        <w:tc>
          <w:tcPr>
            <w:tcW w:w="851"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1286</w:t>
            </w:r>
          </w:p>
        </w:tc>
        <w:tc>
          <w:tcPr>
            <w:tcW w:w="1044"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1946.0</w:t>
            </w:r>
          </w:p>
        </w:tc>
        <w:tc>
          <w:tcPr>
            <w:tcW w:w="948"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25.03</w:t>
            </w:r>
          </w:p>
        </w:tc>
        <w:tc>
          <w:tcPr>
            <w:tcW w:w="99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17.8</w:t>
            </w:r>
          </w:p>
        </w:tc>
        <w:tc>
          <w:tcPr>
            <w:tcW w:w="99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18.21</w:t>
            </w:r>
          </w:p>
        </w:tc>
        <w:tc>
          <w:tcPr>
            <w:tcW w:w="99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40.6</w:t>
            </w:r>
          </w:p>
        </w:tc>
        <w:tc>
          <w:tcPr>
            <w:tcW w:w="991"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37.5</w:t>
            </w:r>
          </w:p>
        </w:tc>
      </w:tr>
      <w:tr>
        <w:tblPrEx>
          <w:tblCellMar>
            <w:top w:w="0" w:type="dxa"/>
            <w:left w:w="108" w:type="dxa"/>
            <w:bottom w:w="0" w:type="dxa"/>
            <w:right w:w="108" w:type="dxa"/>
          </w:tblCellMar>
        </w:tblPrEx>
        <w:trPr>
          <w:trHeight w:val="490" w:hRule="atLeast"/>
        </w:trPr>
        <w:tc>
          <w:tcPr>
            <w:tcW w:w="572" w:type="dxa"/>
            <w:vMerge w:val="continue"/>
            <w:tcBorders>
              <w:top w:val="nil"/>
              <w:left w:val="single" w:color="auto" w:sz="4" w:space="0"/>
              <w:bottom w:val="single" w:color="auto" w:sz="4" w:space="0"/>
              <w:right w:val="single" w:color="auto" w:sz="4" w:space="0"/>
            </w:tcBorders>
            <w:vAlign w:val="center"/>
          </w:tcPr>
          <w:p>
            <w:pPr>
              <w:widowControl/>
              <w:jc w:val="left"/>
              <w:rPr>
                <w:rFonts w:cs="宋体"/>
                <w:kern w:val="0"/>
                <w:sz w:val="24"/>
                <w:szCs w:val="24"/>
              </w:rPr>
            </w:pPr>
          </w:p>
        </w:tc>
        <w:tc>
          <w:tcPr>
            <w:tcW w:w="1134" w:type="dxa"/>
            <w:tcBorders>
              <w:top w:val="nil"/>
              <w:left w:val="nil"/>
              <w:bottom w:val="single" w:color="auto" w:sz="4" w:space="0"/>
              <w:right w:val="single" w:color="auto" w:sz="4" w:space="0"/>
            </w:tcBorders>
            <w:shd w:val="clear" w:color="auto" w:fill="auto"/>
            <w:vAlign w:val="center"/>
          </w:tcPr>
          <w:p>
            <w:pPr>
              <w:widowControl/>
              <w:jc w:val="left"/>
              <w:rPr>
                <w:rFonts w:cs="宋体"/>
                <w:kern w:val="0"/>
                <w:sz w:val="24"/>
                <w:szCs w:val="24"/>
              </w:rPr>
            </w:pPr>
            <w:r>
              <w:rPr>
                <w:rFonts w:hint="eastAsia" w:cs="宋体"/>
                <w:kern w:val="0"/>
                <w:sz w:val="24"/>
                <w:szCs w:val="24"/>
              </w:rPr>
              <w:t>永顺县</w:t>
            </w:r>
          </w:p>
        </w:tc>
        <w:tc>
          <w:tcPr>
            <w:tcW w:w="851"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3810</w:t>
            </w:r>
          </w:p>
        </w:tc>
        <w:tc>
          <w:tcPr>
            <w:tcW w:w="1044"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2127.7</w:t>
            </w:r>
          </w:p>
        </w:tc>
        <w:tc>
          <w:tcPr>
            <w:tcW w:w="948"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81.07</w:t>
            </w:r>
          </w:p>
        </w:tc>
        <w:tc>
          <w:tcPr>
            <w:tcW w:w="99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50.16</w:t>
            </w:r>
          </w:p>
        </w:tc>
        <w:tc>
          <w:tcPr>
            <w:tcW w:w="99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55.36</w:t>
            </w:r>
          </w:p>
        </w:tc>
        <w:tc>
          <w:tcPr>
            <w:tcW w:w="99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61.6</w:t>
            </w:r>
          </w:p>
        </w:tc>
        <w:tc>
          <w:tcPr>
            <w:tcW w:w="991"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46.4</w:t>
            </w:r>
          </w:p>
        </w:tc>
      </w:tr>
      <w:tr>
        <w:tblPrEx>
          <w:tblCellMar>
            <w:top w:w="0" w:type="dxa"/>
            <w:left w:w="108" w:type="dxa"/>
            <w:bottom w:w="0" w:type="dxa"/>
            <w:right w:w="108" w:type="dxa"/>
          </w:tblCellMar>
        </w:tblPrEx>
        <w:trPr>
          <w:trHeight w:val="490" w:hRule="atLeast"/>
        </w:trPr>
        <w:tc>
          <w:tcPr>
            <w:tcW w:w="572" w:type="dxa"/>
            <w:vMerge w:val="continue"/>
            <w:tcBorders>
              <w:top w:val="nil"/>
              <w:left w:val="single" w:color="auto" w:sz="4" w:space="0"/>
              <w:bottom w:val="single" w:color="auto" w:sz="4" w:space="0"/>
              <w:right w:val="single" w:color="auto" w:sz="4" w:space="0"/>
            </w:tcBorders>
            <w:vAlign w:val="center"/>
          </w:tcPr>
          <w:p>
            <w:pPr>
              <w:widowControl/>
              <w:jc w:val="left"/>
              <w:rPr>
                <w:rFonts w:cs="宋体"/>
                <w:kern w:val="0"/>
                <w:sz w:val="24"/>
                <w:szCs w:val="24"/>
              </w:rPr>
            </w:pPr>
          </w:p>
        </w:tc>
        <w:tc>
          <w:tcPr>
            <w:tcW w:w="1134" w:type="dxa"/>
            <w:tcBorders>
              <w:top w:val="nil"/>
              <w:left w:val="nil"/>
              <w:bottom w:val="single" w:color="auto" w:sz="4" w:space="0"/>
              <w:right w:val="single" w:color="auto" w:sz="4" w:space="0"/>
            </w:tcBorders>
            <w:shd w:val="clear" w:color="auto" w:fill="auto"/>
            <w:vAlign w:val="center"/>
          </w:tcPr>
          <w:p>
            <w:pPr>
              <w:widowControl/>
              <w:jc w:val="left"/>
              <w:rPr>
                <w:rFonts w:cs="宋体"/>
                <w:kern w:val="0"/>
                <w:sz w:val="24"/>
                <w:szCs w:val="24"/>
              </w:rPr>
            </w:pPr>
            <w:r>
              <w:rPr>
                <w:rFonts w:hint="eastAsia" w:cs="宋体"/>
                <w:kern w:val="0"/>
                <w:sz w:val="24"/>
                <w:szCs w:val="24"/>
              </w:rPr>
              <w:t>龙山县</w:t>
            </w:r>
          </w:p>
        </w:tc>
        <w:tc>
          <w:tcPr>
            <w:tcW w:w="851"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3127</w:t>
            </w:r>
          </w:p>
        </w:tc>
        <w:tc>
          <w:tcPr>
            <w:tcW w:w="1044"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2089.5</w:t>
            </w:r>
          </w:p>
        </w:tc>
        <w:tc>
          <w:tcPr>
            <w:tcW w:w="948"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65.34</w:t>
            </w:r>
          </w:p>
        </w:tc>
        <w:tc>
          <w:tcPr>
            <w:tcW w:w="99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36.45</w:t>
            </w:r>
          </w:p>
        </w:tc>
        <w:tc>
          <w:tcPr>
            <w:tcW w:w="99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45.52</w:t>
            </w:r>
          </w:p>
        </w:tc>
        <w:tc>
          <w:tcPr>
            <w:tcW w:w="99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79.3</w:t>
            </w:r>
          </w:p>
        </w:tc>
        <w:tc>
          <w:tcPr>
            <w:tcW w:w="991"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43.5</w:t>
            </w:r>
          </w:p>
        </w:tc>
      </w:tr>
      <w:tr>
        <w:tblPrEx>
          <w:tblCellMar>
            <w:top w:w="0" w:type="dxa"/>
            <w:left w:w="108" w:type="dxa"/>
            <w:bottom w:w="0" w:type="dxa"/>
            <w:right w:w="108" w:type="dxa"/>
          </w:tblCellMar>
        </w:tblPrEx>
        <w:trPr>
          <w:trHeight w:val="628" w:hRule="atLeast"/>
        </w:trPr>
        <w:tc>
          <w:tcPr>
            <w:tcW w:w="572" w:type="dxa"/>
            <w:vMerge w:val="restart"/>
            <w:tcBorders>
              <w:top w:val="nil"/>
              <w:left w:val="single" w:color="auto" w:sz="4" w:space="0"/>
              <w:bottom w:val="single" w:color="auto" w:sz="4" w:space="0"/>
              <w:right w:val="single" w:color="auto" w:sz="4" w:space="0"/>
            </w:tcBorders>
            <w:shd w:val="clear" w:color="auto" w:fill="auto"/>
            <w:noWrap/>
            <w:vAlign w:val="center"/>
          </w:tcPr>
          <w:p>
            <w:pPr>
              <w:widowControl/>
              <w:jc w:val="center"/>
              <w:rPr>
                <w:rFonts w:cs="宋体"/>
                <w:kern w:val="0"/>
                <w:sz w:val="24"/>
                <w:szCs w:val="24"/>
              </w:rPr>
            </w:pPr>
            <w:r>
              <w:rPr>
                <w:rFonts w:hint="eastAsia" w:cs="宋体"/>
                <w:kern w:val="0"/>
                <w:sz w:val="24"/>
                <w:szCs w:val="24"/>
              </w:rPr>
              <w:t>水资源分区</w:t>
            </w:r>
          </w:p>
        </w:tc>
        <w:tc>
          <w:tcPr>
            <w:tcW w:w="1134"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沅江浦市镇以上</w:t>
            </w:r>
          </w:p>
        </w:tc>
        <w:tc>
          <w:tcPr>
            <w:tcW w:w="851"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938</w:t>
            </w:r>
          </w:p>
        </w:tc>
        <w:tc>
          <w:tcPr>
            <w:tcW w:w="1044"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1831.9</w:t>
            </w:r>
          </w:p>
        </w:tc>
        <w:tc>
          <w:tcPr>
            <w:tcW w:w="948"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17.2</w:t>
            </w:r>
          </w:p>
        </w:tc>
        <w:tc>
          <w:tcPr>
            <w:tcW w:w="99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12.0</w:t>
            </w:r>
          </w:p>
        </w:tc>
        <w:tc>
          <w:tcPr>
            <w:tcW w:w="99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12.4</w:t>
            </w:r>
          </w:p>
        </w:tc>
        <w:tc>
          <w:tcPr>
            <w:tcW w:w="99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43.3</w:t>
            </w:r>
          </w:p>
        </w:tc>
        <w:tc>
          <w:tcPr>
            <w:tcW w:w="991"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38.7</w:t>
            </w:r>
          </w:p>
        </w:tc>
      </w:tr>
      <w:tr>
        <w:tblPrEx>
          <w:tblCellMar>
            <w:top w:w="0" w:type="dxa"/>
            <w:left w:w="108" w:type="dxa"/>
            <w:bottom w:w="0" w:type="dxa"/>
            <w:right w:w="108" w:type="dxa"/>
          </w:tblCellMar>
        </w:tblPrEx>
        <w:trPr>
          <w:trHeight w:val="628" w:hRule="atLeast"/>
        </w:trPr>
        <w:tc>
          <w:tcPr>
            <w:tcW w:w="572" w:type="dxa"/>
            <w:vMerge w:val="continue"/>
            <w:tcBorders>
              <w:top w:val="nil"/>
              <w:left w:val="single" w:color="auto" w:sz="4" w:space="0"/>
              <w:bottom w:val="single" w:color="auto" w:sz="4" w:space="0"/>
              <w:right w:val="single" w:color="auto" w:sz="4" w:space="0"/>
            </w:tcBorders>
            <w:vAlign w:val="center"/>
          </w:tcPr>
          <w:p>
            <w:pPr>
              <w:widowControl/>
              <w:jc w:val="left"/>
              <w:rPr>
                <w:rFonts w:cs="宋体"/>
                <w:kern w:val="0"/>
                <w:sz w:val="24"/>
                <w:szCs w:val="24"/>
              </w:rPr>
            </w:pPr>
          </w:p>
        </w:tc>
        <w:tc>
          <w:tcPr>
            <w:tcW w:w="1134" w:type="dxa"/>
            <w:tcBorders>
              <w:top w:val="nil"/>
              <w:left w:val="nil"/>
              <w:bottom w:val="single" w:color="auto" w:sz="4" w:space="0"/>
              <w:right w:val="single" w:color="auto" w:sz="4" w:space="0"/>
            </w:tcBorders>
            <w:shd w:val="clear" w:color="auto" w:fill="auto"/>
            <w:vAlign w:val="center"/>
          </w:tcPr>
          <w:p>
            <w:pPr>
              <w:widowControl/>
              <w:jc w:val="center"/>
              <w:rPr>
                <w:rFonts w:cs="宋体"/>
                <w:kern w:val="0"/>
              </w:rPr>
            </w:pPr>
            <w:r>
              <w:rPr>
                <w:rFonts w:hint="eastAsia" w:cs="宋体"/>
                <w:kern w:val="0"/>
                <w:sz w:val="18"/>
                <w:szCs w:val="18"/>
              </w:rPr>
              <w:t>沅江浦市镇以下</w:t>
            </w:r>
          </w:p>
        </w:tc>
        <w:tc>
          <w:tcPr>
            <w:tcW w:w="851"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13482</w:t>
            </w:r>
          </w:p>
        </w:tc>
        <w:tc>
          <w:tcPr>
            <w:tcW w:w="1044"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1999.4</w:t>
            </w:r>
          </w:p>
        </w:tc>
        <w:tc>
          <w:tcPr>
            <w:tcW w:w="948"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269.6</w:t>
            </w:r>
          </w:p>
        </w:tc>
        <w:tc>
          <w:tcPr>
            <w:tcW w:w="99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173.4</w:t>
            </w:r>
          </w:p>
        </w:tc>
        <w:tc>
          <w:tcPr>
            <w:tcW w:w="99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190.77</w:t>
            </w:r>
          </w:p>
        </w:tc>
        <w:tc>
          <w:tcPr>
            <w:tcW w:w="99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55.5</w:t>
            </w:r>
          </w:p>
        </w:tc>
        <w:tc>
          <w:tcPr>
            <w:tcW w:w="991"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41.3</w:t>
            </w:r>
          </w:p>
        </w:tc>
      </w:tr>
      <w:tr>
        <w:tblPrEx>
          <w:tblCellMar>
            <w:top w:w="0" w:type="dxa"/>
            <w:left w:w="108" w:type="dxa"/>
            <w:bottom w:w="0" w:type="dxa"/>
            <w:right w:w="108" w:type="dxa"/>
          </w:tblCellMar>
        </w:tblPrEx>
        <w:trPr>
          <w:trHeight w:val="628" w:hRule="atLeast"/>
        </w:trPr>
        <w:tc>
          <w:tcPr>
            <w:tcW w:w="572" w:type="dxa"/>
            <w:vMerge w:val="continue"/>
            <w:tcBorders>
              <w:top w:val="nil"/>
              <w:left w:val="single" w:color="auto" w:sz="4" w:space="0"/>
              <w:bottom w:val="single" w:color="auto" w:sz="4" w:space="0"/>
              <w:right w:val="single" w:color="auto" w:sz="4" w:space="0"/>
            </w:tcBorders>
            <w:vAlign w:val="center"/>
          </w:tcPr>
          <w:p>
            <w:pPr>
              <w:widowControl/>
              <w:jc w:val="left"/>
              <w:rPr>
                <w:rFonts w:cs="宋体"/>
                <w:kern w:val="0"/>
                <w:sz w:val="24"/>
                <w:szCs w:val="24"/>
              </w:rPr>
            </w:pPr>
          </w:p>
        </w:tc>
        <w:tc>
          <w:tcPr>
            <w:tcW w:w="1134"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澧水区</w:t>
            </w:r>
          </w:p>
        </w:tc>
        <w:tc>
          <w:tcPr>
            <w:tcW w:w="851"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1042</w:t>
            </w:r>
          </w:p>
        </w:tc>
        <w:tc>
          <w:tcPr>
            <w:tcW w:w="1044"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2245.2</w:t>
            </w:r>
          </w:p>
        </w:tc>
        <w:tc>
          <w:tcPr>
            <w:tcW w:w="948"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23.4</w:t>
            </w:r>
          </w:p>
        </w:tc>
        <w:tc>
          <w:tcPr>
            <w:tcW w:w="99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13.2</w:t>
            </w:r>
          </w:p>
        </w:tc>
        <w:tc>
          <w:tcPr>
            <w:tcW w:w="99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16.24</w:t>
            </w:r>
          </w:p>
        </w:tc>
        <w:tc>
          <w:tcPr>
            <w:tcW w:w="99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77.3</w:t>
            </w:r>
          </w:p>
        </w:tc>
        <w:tc>
          <w:tcPr>
            <w:tcW w:w="991"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44.1</w:t>
            </w:r>
          </w:p>
        </w:tc>
      </w:tr>
      <w:tr>
        <w:tblPrEx>
          <w:tblCellMar>
            <w:top w:w="0" w:type="dxa"/>
            <w:left w:w="108" w:type="dxa"/>
            <w:bottom w:w="0" w:type="dxa"/>
            <w:right w:w="108" w:type="dxa"/>
          </w:tblCellMar>
        </w:tblPrEx>
        <w:trPr>
          <w:trHeight w:val="628" w:hRule="atLeast"/>
        </w:trPr>
        <w:tc>
          <w:tcPr>
            <w:tcW w:w="1706" w:type="dxa"/>
            <w:gridSpan w:val="2"/>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jc w:val="center"/>
              <w:rPr>
                <w:rFonts w:cs="宋体"/>
                <w:kern w:val="0"/>
                <w:sz w:val="24"/>
                <w:szCs w:val="24"/>
              </w:rPr>
            </w:pPr>
            <w:r>
              <w:rPr>
                <w:rFonts w:hint="eastAsia" w:cs="宋体"/>
                <w:kern w:val="0"/>
                <w:sz w:val="24"/>
                <w:szCs w:val="24"/>
              </w:rPr>
              <w:t>全州</w:t>
            </w:r>
          </w:p>
        </w:tc>
        <w:tc>
          <w:tcPr>
            <w:tcW w:w="851"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15462</w:t>
            </w:r>
          </w:p>
        </w:tc>
        <w:tc>
          <w:tcPr>
            <w:tcW w:w="1044"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2005.8</w:t>
            </w:r>
          </w:p>
        </w:tc>
        <w:tc>
          <w:tcPr>
            <w:tcW w:w="948"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310.15</w:t>
            </w:r>
          </w:p>
        </w:tc>
        <w:tc>
          <w:tcPr>
            <w:tcW w:w="99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198.61</w:t>
            </w:r>
          </w:p>
        </w:tc>
        <w:tc>
          <w:tcPr>
            <w:tcW w:w="99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219.41</w:t>
            </w:r>
          </w:p>
        </w:tc>
        <w:tc>
          <w:tcPr>
            <w:tcW w:w="99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56.2</w:t>
            </w:r>
          </w:p>
        </w:tc>
        <w:tc>
          <w:tcPr>
            <w:tcW w:w="991"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41.4</w:t>
            </w:r>
          </w:p>
        </w:tc>
      </w:tr>
    </w:tbl>
    <w:p>
      <w:pPr>
        <w:ind w:firstLine="421" w:firstLineChars="150"/>
        <w:jc w:val="center"/>
        <w:rPr>
          <w:color w:val="000000" w:themeColor="text1"/>
          <w:sz w:val="28"/>
          <w:szCs w:val="28"/>
        </w:rPr>
      </w:pPr>
      <w:r>
        <w:rPr>
          <w:rFonts w:hint="eastAsia"/>
          <w:b/>
          <w:color w:val="000000" w:themeColor="text1"/>
          <w:sz w:val="28"/>
          <w:szCs w:val="28"/>
        </w:rPr>
        <w:t>△</w:t>
      </w:r>
      <w:r>
        <w:rPr>
          <w:rFonts w:hint="eastAsia"/>
          <w:color w:val="000000" w:themeColor="text1"/>
          <w:sz w:val="28"/>
          <w:szCs w:val="28"/>
        </w:rPr>
        <w:t>表1  2020年各分区年降雨量与2019年、多年平均比较</w:t>
      </w:r>
    </w:p>
    <w:p>
      <w:pPr>
        <w:widowControl/>
        <w:jc w:val="left"/>
        <w:rPr>
          <w:color w:val="000000" w:themeColor="text1"/>
          <w:sz w:val="28"/>
          <w:szCs w:val="28"/>
        </w:rPr>
      </w:pPr>
      <w:r>
        <w:rPr>
          <w:color w:val="000000" w:themeColor="text1"/>
          <w:sz w:val="28"/>
          <w:szCs w:val="28"/>
        </w:rPr>
        <w:br w:type="page"/>
      </w:r>
    </w:p>
    <w:p>
      <w:pPr>
        <w:ind w:firstLine="420" w:firstLineChars="150"/>
        <w:rPr>
          <w:color w:val="000000" w:themeColor="text1"/>
          <w:sz w:val="28"/>
          <w:szCs w:val="28"/>
        </w:rPr>
      </w:pPr>
      <w:r>
        <w:rPr>
          <w:rFonts w:hint="eastAsia"/>
          <w:color w:val="000000" w:themeColor="text1"/>
          <w:sz w:val="28"/>
          <w:szCs w:val="28"/>
        </w:rPr>
        <w:drawing>
          <wp:inline distT="0" distB="0" distL="0" distR="0">
            <wp:extent cx="5274310" cy="8143240"/>
            <wp:effectExtent l="19050" t="0" r="2540" b="0"/>
            <wp:docPr id="14" name="图片 13" descr="2020降雨量等值线图.jpg"/>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4" name="图片 13" descr="2020降雨量等值线图.jpg"/>
                    <pic:cNvPicPr>
                      <a:picLocks noChangeAspect="true"/>
                    </pic:cNvPicPr>
                  </pic:nvPicPr>
                  <pic:blipFill>
                    <a:blip r:embed="rId9" cstate="print"/>
                    <a:stretch>
                      <a:fillRect/>
                    </a:stretch>
                  </pic:blipFill>
                  <pic:spPr>
                    <a:xfrm>
                      <a:off x="0" y="0"/>
                      <a:ext cx="5274310" cy="8143240"/>
                    </a:xfrm>
                    <a:prstGeom prst="rect">
                      <a:avLst/>
                    </a:prstGeom>
                  </pic:spPr>
                </pic:pic>
              </a:graphicData>
            </a:graphic>
          </wp:inline>
        </w:drawing>
      </w:r>
    </w:p>
    <w:p>
      <w:pPr>
        <w:ind w:firstLine="421" w:firstLineChars="150"/>
        <w:jc w:val="center"/>
        <w:rPr>
          <w:b/>
          <w:color w:val="000000" w:themeColor="text1"/>
          <w:sz w:val="28"/>
          <w:szCs w:val="28"/>
        </w:rPr>
      </w:pPr>
      <w:r>
        <w:rPr>
          <w:rFonts w:hint="eastAsia"/>
          <w:b/>
          <w:color w:val="000000" w:themeColor="text1"/>
          <w:sz w:val="28"/>
          <w:szCs w:val="28"/>
        </w:rPr>
        <w:t>△图3 2020年全州年降水量等值线图</w:t>
      </w:r>
    </w:p>
    <w:p>
      <w:pPr>
        <w:widowControl/>
        <w:jc w:val="left"/>
        <w:rPr>
          <w:b/>
          <w:color w:val="000000" w:themeColor="text1"/>
          <w:sz w:val="28"/>
          <w:szCs w:val="28"/>
        </w:rPr>
      </w:pPr>
      <w:r>
        <w:rPr>
          <w:b/>
          <w:color w:val="000000" w:themeColor="text1"/>
          <w:sz w:val="28"/>
          <w:szCs w:val="28"/>
        </w:rPr>
        <w:br w:type="page"/>
      </w:r>
      <w:r>
        <w:rPr>
          <w:b/>
          <w:color w:val="000000" w:themeColor="text1"/>
          <w:sz w:val="28"/>
          <w:szCs w:val="28"/>
        </w:rPr>
        <w:drawing>
          <wp:inline distT="0" distB="0" distL="0" distR="0">
            <wp:extent cx="5274310" cy="8143240"/>
            <wp:effectExtent l="19050" t="0" r="2540" b="0"/>
            <wp:docPr id="13" name="图片 12" descr="2020降雨量距平线图.jpg"/>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3" name="图片 12" descr="2020降雨量距平线图.jpg"/>
                    <pic:cNvPicPr>
                      <a:picLocks noChangeAspect="true"/>
                    </pic:cNvPicPr>
                  </pic:nvPicPr>
                  <pic:blipFill>
                    <a:blip r:embed="rId10" cstate="print"/>
                    <a:stretch>
                      <a:fillRect/>
                    </a:stretch>
                  </pic:blipFill>
                  <pic:spPr>
                    <a:xfrm>
                      <a:off x="0" y="0"/>
                      <a:ext cx="5274310" cy="8143240"/>
                    </a:xfrm>
                    <a:prstGeom prst="rect">
                      <a:avLst/>
                    </a:prstGeom>
                  </pic:spPr>
                </pic:pic>
              </a:graphicData>
            </a:graphic>
          </wp:inline>
        </w:drawing>
      </w:r>
    </w:p>
    <w:p>
      <w:pPr>
        <w:ind w:firstLine="421" w:firstLineChars="150"/>
        <w:jc w:val="center"/>
        <w:rPr>
          <w:b/>
          <w:color w:val="000000" w:themeColor="text1"/>
          <w:sz w:val="28"/>
          <w:szCs w:val="28"/>
        </w:rPr>
      </w:pPr>
      <w:r>
        <w:rPr>
          <w:rFonts w:hint="eastAsia"/>
          <w:b/>
          <w:color w:val="000000" w:themeColor="text1"/>
          <w:sz w:val="28"/>
          <w:szCs w:val="28"/>
        </w:rPr>
        <w:t>△图4  2020年全州降水量距平等值线图</w:t>
      </w:r>
    </w:p>
    <w:p>
      <w:pPr>
        <w:ind w:firstLine="420" w:firstLineChars="150"/>
        <w:rPr>
          <w:color w:val="000000" w:themeColor="text1"/>
          <w:sz w:val="28"/>
          <w:szCs w:val="28"/>
        </w:rPr>
      </w:pPr>
    </w:p>
    <w:p>
      <w:pPr>
        <w:jc w:val="left"/>
        <w:rPr>
          <w:color w:val="000000" w:themeColor="text1"/>
          <w:sz w:val="28"/>
          <w:szCs w:val="28"/>
        </w:rPr>
      </w:pPr>
      <w:r>
        <w:rPr>
          <w:color w:val="000000" w:themeColor="text1"/>
          <w:sz w:val="28"/>
          <w:szCs w:val="28"/>
        </w:rPr>
        <w:drawing>
          <wp:inline distT="0" distB="0" distL="0" distR="0">
            <wp:extent cx="5274310" cy="7658100"/>
            <wp:effectExtent l="19050" t="0" r="2540" b="0"/>
            <wp:docPr id="1" name="图片 0" descr="降水代表站.jpg"/>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 name="图片 0" descr="降水代表站.jpg"/>
                    <pic:cNvPicPr>
                      <a:picLocks noChangeAspect="true"/>
                    </pic:cNvPicPr>
                  </pic:nvPicPr>
                  <pic:blipFill>
                    <a:blip r:embed="rId11" cstate="print"/>
                    <a:stretch>
                      <a:fillRect/>
                    </a:stretch>
                  </pic:blipFill>
                  <pic:spPr>
                    <a:xfrm>
                      <a:off x="0" y="0"/>
                      <a:ext cx="5274310" cy="7658100"/>
                    </a:xfrm>
                    <a:prstGeom prst="rect">
                      <a:avLst/>
                    </a:prstGeom>
                  </pic:spPr>
                </pic:pic>
              </a:graphicData>
            </a:graphic>
          </wp:inline>
        </w:drawing>
      </w:r>
    </w:p>
    <w:p>
      <w:pPr>
        <w:jc w:val="center"/>
        <w:rPr>
          <w:b/>
          <w:color w:val="000000" w:themeColor="text1"/>
          <w:sz w:val="28"/>
          <w:szCs w:val="28"/>
        </w:rPr>
      </w:pPr>
      <w:r>
        <w:rPr>
          <w:rFonts w:hint="eastAsia"/>
          <w:b/>
          <w:color w:val="000000" w:themeColor="text1"/>
          <w:sz w:val="28"/>
          <w:szCs w:val="28"/>
        </w:rPr>
        <w:t>△图5 2020年全州主要河流雨量代表站月降雨量分布图</w:t>
      </w:r>
    </w:p>
    <w:p>
      <w:pPr>
        <w:rPr>
          <w:b/>
          <w:sz w:val="28"/>
          <w:szCs w:val="28"/>
        </w:rPr>
      </w:pPr>
      <w:r>
        <w:rPr>
          <w:color w:val="000000" w:themeColor="text1"/>
          <w:sz w:val="28"/>
          <w:szCs w:val="28"/>
        </w:rPr>
        <w:br w:type="page"/>
      </w:r>
      <w:r>
        <w:rPr>
          <w:rFonts w:hint="eastAsia"/>
          <w:b/>
          <w:sz w:val="28"/>
          <w:szCs w:val="28"/>
        </w:rPr>
        <w:t>（二）地表水资源量</w:t>
      </w:r>
    </w:p>
    <w:p>
      <w:pPr>
        <w:widowControl/>
        <w:ind w:firstLine="560" w:firstLineChars="200"/>
        <w:jc w:val="left"/>
        <w:rPr>
          <w:color w:val="000000" w:themeColor="text1"/>
          <w:sz w:val="28"/>
          <w:szCs w:val="28"/>
        </w:rPr>
      </w:pPr>
      <w:r>
        <w:rPr>
          <w:color w:val="000000" w:themeColor="text1"/>
          <w:sz w:val="28"/>
          <w:szCs w:val="28"/>
        </w:rPr>
        <w:t>20</w:t>
      </w:r>
      <w:r>
        <w:rPr>
          <w:rFonts w:hint="eastAsia"/>
          <w:color w:val="000000" w:themeColor="text1"/>
          <w:sz w:val="28"/>
          <w:szCs w:val="28"/>
        </w:rPr>
        <w:t>20</w:t>
      </w:r>
      <w:r>
        <w:rPr>
          <w:color w:val="000000" w:themeColor="text1"/>
          <w:sz w:val="28"/>
          <w:szCs w:val="28"/>
        </w:rPr>
        <w:t>年全州地表水资源（天然河川径流）量</w:t>
      </w:r>
      <w:r>
        <w:rPr>
          <w:rFonts w:hint="eastAsia"/>
          <w:color w:val="000000" w:themeColor="text1"/>
          <w:sz w:val="28"/>
          <w:szCs w:val="28"/>
        </w:rPr>
        <w:t>226.8</w:t>
      </w:r>
      <w:r>
        <w:rPr>
          <w:color w:val="000000" w:themeColor="text1"/>
          <w:sz w:val="28"/>
          <w:szCs w:val="28"/>
        </w:rPr>
        <w:t>亿</w:t>
      </w:r>
      <w:r>
        <w:rPr>
          <w:rFonts w:hint="eastAsia"/>
          <w:sz w:val="28"/>
          <w:szCs w:val="28"/>
        </w:rPr>
        <w:t>m</w:t>
      </w:r>
      <w:r>
        <w:rPr>
          <w:rFonts w:hint="eastAsia"/>
          <w:sz w:val="28"/>
          <w:szCs w:val="28"/>
          <w:vertAlign w:val="superscript"/>
        </w:rPr>
        <w:t>3</w:t>
      </w:r>
      <w:r>
        <w:rPr>
          <w:color w:val="000000" w:themeColor="text1"/>
          <w:sz w:val="28"/>
          <w:szCs w:val="28"/>
        </w:rPr>
        <w:t>，折合径流深</w:t>
      </w:r>
      <w:r>
        <w:rPr>
          <w:rFonts w:hint="eastAsia"/>
          <w:color w:val="000000" w:themeColor="text1"/>
          <w:sz w:val="28"/>
          <w:szCs w:val="28"/>
        </w:rPr>
        <w:t>1466.8</w:t>
      </w:r>
      <w:r>
        <w:rPr>
          <w:color w:val="000000" w:themeColor="text1"/>
          <w:sz w:val="28"/>
          <w:szCs w:val="28"/>
        </w:rPr>
        <w:t>毫米，径流系数0.</w:t>
      </w:r>
      <w:r>
        <w:rPr>
          <w:rFonts w:hint="eastAsia"/>
          <w:color w:val="000000" w:themeColor="text1"/>
          <w:sz w:val="28"/>
          <w:szCs w:val="28"/>
        </w:rPr>
        <w:t>73</w:t>
      </w:r>
      <w:r>
        <w:rPr>
          <w:color w:val="000000" w:themeColor="text1"/>
          <w:sz w:val="28"/>
          <w:szCs w:val="28"/>
        </w:rPr>
        <w:t>，比上年偏多</w:t>
      </w:r>
      <w:r>
        <w:rPr>
          <w:rFonts w:hint="eastAsia"/>
          <w:color w:val="000000" w:themeColor="text1"/>
          <w:sz w:val="28"/>
          <w:szCs w:val="28"/>
        </w:rPr>
        <w:t>96.9</w:t>
      </w:r>
      <w:r>
        <w:rPr>
          <w:color w:val="000000" w:themeColor="text1"/>
          <w:sz w:val="28"/>
          <w:szCs w:val="28"/>
        </w:rPr>
        <w:t>%，较多年平均偏多</w:t>
      </w:r>
      <w:r>
        <w:rPr>
          <w:rFonts w:hint="eastAsia"/>
          <w:color w:val="000000" w:themeColor="text1"/>
          <w:sz w:val="28"/>
          <w:szCs w:val="28"/>
        </w:rPr>
        <w:t>81.4%</w:t>
      </w:r>
      <w:r>
        <w:rPr>
          <w:color w:val="000000" w:themeColor="text1"/>
          <w:sz w:val="28"/>
          <w:szCs w:val="28"/>
        </w:rPr>
        <w:t>。</w:t>
      </w:r>
    </w:p>
    <w:p>
      <w:pPr>
        <w:widowControl/>
        <w:ind w:firstLine="560" w:firstLineChars="200"/>
        <w:jc w:val="left"/>
        <w:rPr>
          <w:color w:val="000000" w:themeColor="text1"/>
          <w:sz w:val="28"/>
          <w:szCs w:val="28"/>
        </w:rPr>
      </w:pPr>
      <w:r>
        <w:rPr>
          <w:rFonts w:hint="eastAsia"/>
          <w:color w:val="000000" w:themeColor="text1"/>
          <w:sz w:val="28"/>
          <w:szCs w:val="28"/>
        </w:rPr>
        <w:t>各县、市地表水资源量与多年平均比较：</w:t>
      </w:r>
      <w:r>
        <w:rPr>
          <w:color w:val="000000" w:themeColor="text1"/>
          <w:sz w:val="28"/>
          <w:szCs w:val="28"/>
        </w:rPr>
        <w:t>吉首市、</w:t>
      </w:r>
      <w:r>
        <w:rPr>
          <w:rFonts w:hint="eastAsia"/>
          <w:color w:val="000000" w:themeColor="text1"/>
          <w:sz w:val="28"/>
          <w:szCs w:val="28"/>
        </w:rPr>
        <w:t>泸溪县、凤凰县、</w:t>
      </w:r>
      <w:r>
        <w:rPr>
          <w:color w:val="000000" w:themeColor="text1"/>
          <w:sz w:val="28"/>
          <w:szCs w:val="28"/>
        </w:rPr>
        <w:t>花垣县、保靖县、古丈县、永顺县、龙山县</w:t>
      </w:r>
      <w:r>
        <w:rPr>
          <w:rFonts w:hint="eastAsia"/>
          <w:color w:val="000000" w:themeColor="text1"/>
          <w:sz w:val="28"/>
          <w:szCs w:val="28"/>
        </w:rPr>
        <w:t>分别比多年平均偏多40.8</w:t>
      </w:r>
      <w:r>
        <w:rPr>
          <w:color w:val="000000" w:themeColor="text1"/>
          <w:sz w:val="28"/>
          <w:szCs w:val="28"/>
        </w:rPr>
        <w:t>%、</w:t>
      </w:r>
      <w:r>
        <w:rPr>
          <w:rFonts w:hint="eastAsia"/>
          <w:color w:val="000000" w:themeColor="text1"/>
          <w:sz w:val="28"/>
          <w:szCs w:val="28"/>
        </w:rPr>
        <w:t>79.8</w:t>
      </w:r>
      <w:r>
        <w:rPr>
          <w:color w:val="000000" w:themeColor="text1"/>
          <w:sz w:val="28"/>
          <w:szCs w:val="28"/>
        </w:rPr>
        <w:t>%、</w:t>
      </w:r>
      <w:r>
        <w:rPr>
          <w:rFonts w:hint="eastAsia"/>
          <w:color w:val="000000" w:themeColor="text1"/>
          <w:sz w:val="28"/>
          <w:szCs w:val="28"/>
        </w:rPr>
        <w:t>62.0</w:t>
      </w:r>
      <w:r>
        <w:rPr>
          <w:color w:val="000000" w:themeColor="text1"/>
          <w:sz w:val="28"/>
          <w:szCs w:val="28"/>
        </w:rPr>
        <w:t>%、</w:t>
      </w:r>
      <w:r>
        <w:rPr>
          <w:rFonts w:hint="eastAsia"/>
          <w:color w:val="000000" w:themeColor="text1"/>
          <w:sz w:val="28"/>
          <w:szCs w:val="28"/>
        </w:rPr>
        <w:t>79.6</w:t>
      </w:r>
      <w:r>
        <w:rPr>
          <w:color w:val="000000" w:themeColor="text1"/>
          <w:sz w:val="28"/>
          <w:szCs w:val="28"/>
        </w:rPr>
        <w:t>%、</w:t>
      </w:r>
      <w:r>
        <w:rPr>
          <w:rFonts w:hint="eastAsia"/>
          <w:color w:val="000000" w:themeColor="text1"/>
          <w:sz w:val="28"/>
          <w:szCs w:val="28"/>
        </w:rPr>
        <w:t>85.7</w:t>
      </w:r>
      <w:r>
        <w:rPr>
          <w:color w:val="000000" w:themeColor="text1"/>
          <w:sz w:val="28"/>
          <w:szCs w:val="28"/>
        </w:rPr>
        <w:t>%、</w:t>
      </w:r>
      <w:r>
        <w:rPr>
          <w:rFonts w:hint="eastAsia"/>
          <w:color w:val="000000" w:themeColor="text1"/>
          <w:sz w:val="28"/>
          <w:szCs w:val="28"/>
        </w:rPr>
        <w:t>76.0</w:t>
      </w:r>
      <w:r>
        <w:rPr>
          <w:color w:val="000000" w:themeColor="text1"/>
          <w:sz w:val="28"/>
          <w:szCs w:val="28"/>
        </w:rPr>
        <w:t>%、</w:t>
      </w:r>
      <w:r>
        <w:rPr>
          <w:rFonts w:hint="eastAsia"/>
          <w:color w:val="000000" w:themeColor="text1"/>
          <w:sz w:val="28"/>
          <w:szCs w:val="28"/>
        </w:rPr>
        <w:t>95.5</w:t>
      </w:r>
      <w:r>
        <w:rPr>
          <w:color w:val="000000" w:themeColor="text1"/>
          <w:sz w:val="28"/>
          <w:szCs w:val="28"/>
        </w:rPr>
        <w:t>%、</w:t>
      </w:r>
      <w:r>
        <w:rPr>
          <w:rFonts w:hint="eastAsia"/>
          <w:color w:val="000000" w:themeColor="text1"/>
          <w:sz w:val="28"/>
          <w:szCs w:val="28"/>
        </w:rPr>
        <w:t>95.3</w:t>
      </w:r>
      <w:r>
        <w:rPr>
          <w:color w:val="000000" w:themeColor="text1"/>
          <w:sz w:val="28"/>
          <w:szCs w:val="28"/>
        </w:rPr>
        <w:t>%。</w:t>
      </w:r>
      <w:r>
        <w:rPr>
          <w:rFonts w:hint="eastAsia"/>
          <w:color w:val="000000" w:themeColor="text1"/>
          <w:sz w:val="28"/>
          <w:szCs w:val="28"/>
        </w:rPr>
        <w:t>2020年</w:t>
      </w:r>
      <w:r>
        <w:rPr>
          <w:color w:val="000000" w:themeColor="text1"/>
          <w:sz w:val="28"/>
          <w:szCs w:val="28"/>
        </w:rPr>
        <w:t>各行政分区地表水资源量与</w:t>
      </w:r>
      <w:r>
        <w:rPr>
          <w:rFonts w:hint="eastAsia"/>
          <w:color w:val="000000" w:themeColor="text1"/>
          <w:sz w:val="28"/>
          <w:szCs w:val="28"/>
        </w:rPr>
        <w:t>2019年、多年平均比较见图6。</w:t>
      </w:r>
    </w:p>
    <w:p>
      <w:pPr>
        <w:widowControl/>
        <w:jc w:val="left"/>
        <w:rPr>
          <w:color w:val="000000" w:themeColor="text1"/>
          <w:sz w:val="28"/>
          <w:szCs w:val="28"/>
        </w:rPr>
      </w:pPr>
      <w:r>
        <w:rPr>
          <w:color w:val="000000" w:themeColor="text1"/>
          <w:sz w:val="28"/>
          <w:szCs w:val="28"/>
        </w:rPr>
        <w:drawing>
          <wp:inline distT="0" distB="0" distL="0" distR="0">
            <wp:extent cx="5274310" cy="2188210"/>
            <wp:effectExtent l="19050" t="0" r="21590" b="2278"/>
            <wp:docPr id="15" name="图表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pPr>
        <w:rPr>
          <w:b/>
          <w:color w:val="000000" w:themeColor="text1"/>
          <w:sz w:val="28"/>
          <w:szCs w:val="28"/>
        </w:rPr>
      </w:pPr>
      <w:r>
        <w:rPr>
          <w:rFonts w:hint="eastAsia"/>
          <w:b/>
          <w:color w:val="000000" w:themeColor="text1"/>
          <w:sz w:val="28"/>
          <w:szCs w:val="28"/>
        </w:rPr>
        <w:t>△</w:t>
      </w:r>
      <w:r>
        <w:rPr>
          <w:b/>
          <w:color w:val="000000" w:themeColor="text1"/>
          <w:sz w:val="28"/>
          <w:szCs w:val="28"/>
        </w:rPr>
        <w:t>图</w:t>
      </w:r>
      <w:r>
        <w:rPr>
          <w:rFonts w:hint="eastAsia"/>
          <w:b/>
          <w:color w:val="000000" w:themeColor="text1"/>
          <w:sz w:val="28"/>
          <w:szCs w:val="28"/>
        </w:rPr>
        <w:t>6 2020年</w:t>
      </w:r>
      <w:r>
        <w:rPr>
          <w:b/>
          <w:color w:val="000000" w:themeColor="text1"/>
          <w:sz w:val="28"/>
          <w:szCs w:val="28"/>
        </w:rPr>
        <w:t>各行政分区地表水资源量与</w:t>
      </w:r>
      <w:r>
        <w:rPr>
          <w:rFonts w:hint="eastAsia"/>
          <w:b/>
          <w:color w:val="000000" w:themeColor="text1"/>
          <w:sz w:val="28"/>
          <w:szCs w:val="28"/>
        </w:rPr>
        <w:t>2019年、多年平均比较图</w:t>
      </w:r>
    </w:p>
    <w:p>
      <w:pPr>
        <w:ind w:firstLine="550" w:firstLineChars="196"/>
        <w:rPr>
          <w:b/>
          <w:color w:val="000000" w:themeColor="text1"/>
          <w:sz w:val="28"/>
          <w:szCs w:val="28"/>
        </w:rPr>
      </w:pPr>
      <w:r>
        <w:rPr>
          <w:rFonts w:hint="eastAsia"/>
          <w:b/>
          <w:color w:val="000000" w:themeColor="text1"/>
          <w:sz w:val="28"/>
          <w:szCs w:val="28"/>
        </w:rPr>
        <w:t>地表水资源分布特点：</w:t>
      </w:r>
    </w:p>
    <w:p>
      <w:pPr>
        <w:ind w:firstLine="560"/>
        <w:rPr>
          <w:color w:val="000000" w:themeColor="text1"/>
          <w:sz w:val="28"/>
          <w:szCs w:val="28"/>
        </w:rPr>
      </w:pPr>
      <w:r>
        <w:rPr>
          <w:rFonts w:hint="eastAsia"/>
          <w:color w:val="000000" w:themeColor="text1"/>
          <w:sz w:val="28"/>
          <w:szCs w:val="28"/>
        </w:rPr>
        <w:t>①年径流深分布与降水基本相同，呈北高南低的趋势。地处州内北部沅江一级支流酉水高值区，年径流深14</w:t>
      </w:r>
      <w:r>
        <w:rPr>
          <w:color w:val="000000" w:themeColor="text1"/>
          <w:sz w:val="28"/>
          <w:szCs w:val="28"/>
        </w:rPr>
        <w:t>00～1</w:t>
      </w:r>
      <w:r>
        <w:rPr>
          <w:rFonts w:hint="eastAsia"/>
          <w:color w:val="000000" w:themeColor="text1"/>
          <w:sz w:val="28"/>
          <w:szCs w:val="28"/>
        </w:rPr>
        <w:t>6</w:t>
      </w:r>
      <w:r>
        <w:rPr>
          <w:color w:val="000000" w:themeColor="text1"/>
          <w:sz w:val="28"/>
          <w:szCs w:val="28"/>
        </w:rPr>
        <w:t>00毫米。地处州内南部地区的沅江一级支流武水高值区年径流深在</w:t>
      </w:r>
      <w:r>
        <w:rPr>
          <w:rFonts w:hint="eastAsia"/>
          <w:color w:val="000000" w:themeColor="text1"/>
          <w:sz w:val="28"/>
          <w:szCs w:val="28"/>
        </w:rPr>
        <w:t>11</w:t>
      </w:r>
      <w:r>
        <w:rPr>
          <w:color w:val="000000" w:themeColor="text1"/>
          <w:sz w:val="28"/>
          <w:szCs w:val="28"/>
        </w:rPr>
        <w:t>00～1</w:t>
      </w:r>
      <w:r>
        <w:rPr>
          <w:rFonts w:hint="eastAsia"/>
          <w:color w:val="000000" w:themeColor="text1"/>
          <w:sz w:val="28"/>
          <w:szCs w:val="28"/>
        </w:rPr>
        <w:t>3</w:t>
      </w:r>
      <w:r>
        <w:rPr>
          <w:color w:val="000000" w:themeColor="text1"/>
          <w:sz w:val="28"/>
          <w:szCs w:val="28"/>
        </w:rPr>
        <w:t>00毫米。</w:t>
      </w:r>
      <w:r>
        <w:rPr>
          <w:rFonts w:hint="eastAsia"/>
          <w:color w:val="000000" w:themeColor="text1"/>
          <w:sz w:val="28"/>
          <w:szCs w:val="28"/>
        </w:rPr>
        <w:t xml:space="preserve">            </w:t>
      </w:r>
    </w:p>
    <w:p>
      <w:pPr>
        <w:ind w:firstLine="560"/>
        <w:rPr>
          <w:color w:val="000000" w:themeColor="text1"/>
          <w:sz w:val="28"/>
          <w:szCs w:val="28"/>
        </w:rPr>
      </w:pPr>
      <w:r>
        <w:rPr>
          <w:color w:val="000000" w:themeColor="text1"/>
          <w:sz w:val="28"/>
          <w:szCs w:val="28"/>
        </w:rPr>
        <w:t>②年内分配不均。州内全部水文站连续四个月最大径流量占全年的60～80%左右。</w:t>
      </w:r>
    </w:p>
    <w:p>
      <w:pPr>
        <w:ind w:firstLine="560"/>
        <w:rPr>
          <w:color w:val="000000" w:themeColor="text1"/>
          <w:sz w:val="28"/>
          <w:szCs w:val="28"/>
        </w:rPr>
      </w:pPr>
      <w:r>
        <w:rPr>
          <w:color w:val="000000" w:themeColor="text1"/>
          <w:sz w:val="28"/>
          <w:szCs w:val="28"/>
        </w:rPr>
        <w:t>③径流系数适中。因降雨较集中，全州平均产水系数为0.</w:t>
      </w:r>
      <w:r>
        <w:rPr>
          <w:rFonts w:hint="eastAsia"/>
          <w:color w:val="000000" w:themeColor="text1"/>
          <w:sz w:val="28"/>
          <w:szCs w:val="28"/>
        </w:rPr>
        <w:t>73</w:t>
      </w:r>
      <w:r>
        <w:rPr>
          <w:color w:val="000000" w:themeColor="text1"/>
          <w:sz w:val="28"/>
          <w:szCs w:val="28"/>
        </w:rPr>
        <w:t>。</w:t>
      </w:r>
      <w:r>
        <w:rPr>
          <w:rFonts w:hint="eastAsia"/>
          <w:color w:val="000000" w:themeColor="text1"/>
          <w:sz w:val="28"/>
          <w:szCs w:val="28"/>
        </w:rPr>
        <w:t>2020年各行政分区地表水资源量与2019、多年平均比较见表2。</w:t>
      </w:r>
    </w:p>
    <w:tbl>
      <w:tblPr>
        <w:tblStyle w:val="11"/>
        <w:tblW w:w="8369" w:type="dxa"/>
        <w:tblInd w:w="103" w:type="dxa"/>
        <w:tblLayout w:type="autofit"/>
        <w:tblCellMar>
          <w:top w:w="0" w:type="dxa"/>
          <w:left w:w="108" w:type="dxa"/>
          <w:bottom w:w="0" w:type="dxa"/>
          <w:right w:w="108" w:type="dxa"/>
        </w:tblCellMar>
      </w:tblPr>
      <w:tblGrid>
        <w:gridCol w:w="856"/>
        <w:gridCol w:w="709"/>
        <w:gridCol w:w="850"/>
        <w:gridCol w:w="851"/>
        <w:gridCol w:w="850"/>
        <w:gridCol w:w="851"/>
        <w:gridCol w:w="850"/>
        <w:gridCol w:w="851"/>
        <w:gridCol w:w="850"/>
        <w:gridCol w:w="851"/>
      </w:tblGrid>
      <w:tr>
        <w:tblPrEx>
          <w:tblCellMar>
            <w:top w:w="0" w:type="dxa"/>
            <w:left w:w="108" w:type="dxa"/>
            <w:bottom w:w="0" w:type="dxa"/>
            <w:right w:w="108" w:type="dxa"/>
          </w:tblCellMar>
        </w:tblPrEx>
        <w:trPr>
          <w:trHeight w:val="540" w:hRule="atLeast"/>
        </w:trPr>
        <w:tc>
          <w:tcPr>
            <w:tcW w:w="856"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cs="宋体"/>
                <w:b/>
                <w:bCs/>
                <w:kern w:val="0"/>
                <w:sz w:val="18"/>
                <w:szCs w:val="18"/>
              </w:rPr>
            </w:pPr>
            <w:r>
              <w:rPr>
                <w:rFonts w:hint="eastAsia" w:cs="宋体"/>
                <w:b/>
                <w:bCs/>
                <w:kern w:val="0"/>
                <w:sz w:val="18"/>
                <w:szCs w:val="18"/>
              </w:rPr>
              <w:t>行政  区划</w:t>
            </w:r>
          </w:p>
        </w:tc>
        <w:tc>
          <w:tcPr>
            <w:tcW w:w="709" w:type="dxa"/>
            <w:tcBorders>
              <w:top w:val="single" w:color="auto" w:sz="4" w:space="0"/>
              <w:left w:val="nil"/>
              <w:bottom w:val="single" w:color="auto" w:sz="4" w:space="0"/>
              <w:right w:val="single" w:color="auto" w:sz="4" w:space="0"/>
            </w:tcBorders>
            <w:shd w:val="clear" w:color="auto" w:fill="auto"/>
            <w:vAlign w:val="center"/>
          </w:tcPr>
          <w:p>
            <w:pPr>
              <w:widowControl/>
              <w:jc w:val="left"/>
              <w:rPr>
                <w:rFonts w:cs="宋体"/>
                <w:b/>
                <w:bCs/>
                <w:kern w:val="0"/>
                <w:sz w:val="18"/>
                <w:szCs w:val="18"/>
              </w:rPr>
            </w:pPr>
            <w:r>
              <w:rPr>
                <w:rFonts w:hint="eastAsia" w:cs="宋体"/>
                <w:b/>
                <w:bCs/>
                <w:kern w:val="0"/>
                <w:sz w:val="18"/>
                <w:szCs w:val="18"/>
              </w:rPr>
              <w:t>面积</w:t>
            </w:r>
          </w:p>
        </w:tc>
        <w:tc>
          <w:tcPr>
            <w:tcW w:w="1701" w:type="dxa"/>
            <w:gridSpan w:val="2"/>
            <w:tcBorders>
              <w:top w:val="single" w:color="auto" w:sz="4" w:space="0"/>
              <w:left w:val="nil"/>
              <w:bottom w:val="single" w:color="auto" w:sz="4" w:space="0"/>
              <w:right w:val="single" w:color="auto" w:sz="4" w:space="0"/>
            </w:tcBorders>
            <w:shd w:val="clear" w:color="auto" w:fill="auto"/>
            <w:vAlign w:val="center"/>
          </w:tcPr>
          <w:p>
            <w:pPr>
              <w:widowControl/>
              <w:jc w:val="center"/>
              <w:rPr>
                <w:rFonts w:cs="宋体"/>
                <w:b/>
                <w:bCs/>
                <w:kern w:val="0"/>
                <w:sz w:val="18"/>
                <w:szCs w:val="18"/>
              </w:rPr>
            </w:pPr>
            <w:r>
              <w:rPr>
                <w:rFonts w:hint="eastAsia" w:cs="宋体"/>
                <w:b/>
                <w:bCs/>
                <w:kern w:val="0"/>
                <w:sz w:val="18"/>
                <w:szCs w:val="18"/>
              </w:rPr>
              <w:t>天然径流量</w:t>
            </w:r>
          </w:p>
        </w:tc>
        <w:tc>
          <w:tcPr>
            <w:tcW w:w="1701" w:type="dxa"/>
            <w:gridSpan w:val="2"/>
            <w:tcBorders>
              <w:top w:val="single" w:color="auto" w:sz="4" w:space="0"/>
              <w:left w:val="nil"/>
              <w:bottom w:val="single" w:color="auto" w:sz="4" w:space="0"/>
              <w:right w:val="single" w:color="auto" w:sz="4" w:space="0"/>
            </w:tcBorders>
            <w:shd w:val="clear" w:color="auto" w:fill="auto"/>
            <w:vAlign w:val="center"/>
          </w:tcPr>
          <w:p>
            <w:pPr>
              <w:widowControl/>
              <w:jc w:val="center"/>
              <w:rPr>
                <w:rFonts w:cs="宋体"/>
                <w:b/>
                <w:bCs/>
                <w:kern w:val="0"/>
                <w:sz w:val="18"/>
                <w:szCs w:val="18"/>
              </w:rPr>
            </w:pPr>
            <w:r>
              <w:rPr>
                <w:rFonts w:hint="eastAsia" w:cs="宋体"/>
                <w:b/>
                <w:bCs/>
                <w:kern w:val="0"/>
                <w:sz w:val="18"/>
                <w:szCs w:val="18"/>
              </w:rPr>
              <w:t>上年水量</w:t>
            </w:r>
          </w:p>
        </w:tc>
        <w:tc>
          <w:tcPr>
            <w:tcW w:w="1701" w:type="dxa"/>
            <w:gridSpan w:val="2"/>
            <w:tcBorders>
              <w:top w:val="single" w:color="auto" w:sz="4" w:space="0"/>
              <w:left w:val="nil"/>
              <w:bottom w:val="single" w:color="auto" w:sz="4" w:space="0"/>
              <w:right w:val="single" w:color="auto" w:sz="4" w:space="0"/>
            </w:tcBorders>
            <w:shd w:val="clear" w:color="auto" w:fill="auto"/>
            <w:vAlign w:val="center"/>
          </w:tcPr>
          <w:p>
            <w:pPr>
              <w:widowControl/>
              <w:jc w:val="center"/>
              <w:rPr>
                <w:rFonts w:cs="宋体"/>
                <w:b/>
                <w:bCs/>
                <w:kern w:val="0"/>
                <w:sz w:val="18"/>
                <w:szCs w:val="18"/>
              </w:rPr>
            </w:pPr>
            <w:r>
              <w:rPr>
                <w:rFonts w:hint="eastAsia" w:cs="宋体"/>
                <w:b/>
                <w:bCs/>
                <w:kern w:val="0"/>
                <w:sz w:val="18"/>
                <w:szCs w:val="18"/>
              </w:rPr>
              <w:t>多年平均</w:t>
            </w:r>
          </w:p>
        </w:tc>
        <w:tc>
          <w:tcPr>
            <w:tcW w:w="850" w:type="dxa"/>
            <w:tcBorders>
              <w:top w:val="single" w:color="auto" w:sz="4" w:space="0"/>
              <w:left w:val="nil"/>
              <w:bottom w:val="single" w:color="auto" w:sz="4" w:space="0"/>
              <w:right w:val="single" w:color="auto" w:sz="4" w:space="0"/>
            </w:tcBorders>
            <w:shd w:val="clear" w:color="auto" w:fill="auto"/>
            <w:vAlign w:val="center"/>
          </w:tcPr>
          <w:p>
            <w:pPr>
              <w:widowControl/>
              <w:jc w:val="left"/>
              <w:rPr>
                <w:rFonts w:cs="宋体"/>
                <w:b/>
                <w:bCs/>
                <w:kern w:val="0"/>
                <w:sz w:val="18"/>
                <w:szCs w:val="18"/>
              </w:rPr>
            </w:pPr>
            <w:r>
              <w:rPr>
                <w:rFonts w:hint="eastAsia" w:cs="宋体"/>
                <w:b/>
                <w:bCs/>
                <w:kern w:val="0"/>
                <w:sz w:val="18"/>
                <w:szCs w:val="18"/>
              </w:rPr>
              <w:t>与上年比较</w:t>
            </w:r>
          </w:p>
        </w:tc>
        <w:tc>
          <w:tcPr>
            <w:tcW w:w="851" w:type="dxa"/>
            <w:tcBorders>
              <w:top w:val="single" w:color="auto" w:sz="4" w:space="0"/>
              <w:left w:val="nil"/>
              <w:bottom w:val="single" w:color="auto" w:sz="4" w:space="0"/>
              <w:right w:val="single" w:color="auto" w:sz="4" w:space="0"/>
            </w:tcBorders>
            <w:shd w:val="clear" w:color="auto" w:fill="auto"/>
            <w:vAlign w:val="center"/>
          </w:tcPr>
          <w:p>
            <w:pPr>
              <w:widowControl/>
              <w:jc w:val="left"/>
              <w:rPr>
                <w:rFonts w:cs="宋体"/>
                <w:b/>
                <w:bCs/>
                <w:kern w:val="0"/>
                <w:sz w:val="18"/>
                <w:szCs w:val="18"/>
              </w:rPr>
            </w:pPr>
            <w:r>
              <w:rPr>
                <w:rFonts w:hint="eastAsia" w:cs="宋体"/>
                <w:b/>
                <w:bCs/>
                <w:kern w:val="0"/>
                <w:sz w:val="18"/>
                <w:szCs w:val="18"/>
              </w:rPr>
              <w:t>与多年平均比较</w:t>
            </w:r>
          </w:p>
        </w:tc>
      </w:tr>
      <w:tr>
        <w:tblPrEx>
          <w:tblCellMar>
            <w:top w:w="0" w:type="dxa"/>
            <w:left w:w="108" w:type="dxa"/>
            <w:bottom w:w="0" w:type="dxa"/>
            <w:right w:w="108" w:type="dxa"/>
          </w:tblCellMar>
        </w:tblPrEx>
        <w:trPr>
          <w:trHeight w:val="270" w:hRule="atLeast"/>
        </w:trPr>
        <w:tc>
          <w:tcPr>
            <w:tcW w:w="856"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cs="宋体"/>
                <w:b/>
                <w:bCs/>
                <w:kern w:val="0"/>
                <w:sz w:val="18"/>
                <w:szCs w:val="18"/>
              </w:rPr>
            </w:pPr>
          </w:p>
        </w:tc>
        <w:tc>
          <w:tcPr>
            <w:tcW w:w="709" w:type="dxa"/>
            <w:tcBorders>
              <w:top w:val="nil"/>
              <w:left w:val="nil"/>
              <w:bottom w:val="single" w:color="auto" w:sz="4" w:space="0"/>
              <w:right w:val="single" w:color="auto" w:sz="4" w:space="0"/>
            </w:tcBorders>
            <w:shd w:val="clear" w:color="auto" w:fill="auto"/>
            <w:vAlign w:val="center"/>
          </w:tcPr>
          <w:p>
            <w:pPr>
              <w:widowControl/>
              <w:jc w:val="center"/>
              <w:rPr>
                <w:rFonts w:cs="宋体"/>
                <w:bCs/>
                <w:kern w:val="0"/>
                <w:sz w:val="24"/>
                <w:szCs w:val="24"/>
              </w:rPr>
            </w:pPr>
            <w:r>
              <w:rPr>
                <w:rFonts w:hint="eastAsia" w:cs="宋体"/>
                <w:bCs/>
                <w:kern w:val="0"/>
                <w:sz w:val="24"/>
                <w:szCs w:val="24"/>
              </w:rPr>
              <w:t>k㎡</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rFonts w:cs="宋体"/>
                <w:bCs/>
                <w:kern w:val="0"/>
                <w:sz w:val="24"/>
                <w:szCs w:val="24"/>
              </w:rPr>
            </w:pPr>
            <w:r>
              <w:rPr>
                <w:rFonts w:hint="eastAsia" w:cs="宋体"/>
                <w:bCs/>
                <w:kern w:val="0"/>
                <w:sz w:val="24"/>
                <w:szCs w:val="24"/>
              </w:rPr>
              <w:t>mm</w:t>
            </w:r>
          </w:p>
        </w:tc>
        <w:tc>
          <w:tcPr>
            <w:tcW w:w="851" w:type="dxa"/>
            <w:tcBorders>
              <w:top w:val="nil"/>
              <w:left w:val="nil"/>
              <w:bottom w:val="single" w:color="auto" w:sz="4" w:space="0"/>
              <w:right w:val="single" w:color="auto" w:sz="4" w:space="0"/>
            </w:tcBorders>
            <w:shd w:val="clear" w:color="auto" w:fill="auto"/>
            <w:vAlign w:val="center"/>
          </w:tcPr>
          <w:p>
            <w:pPr>
              <w:widowControl/>
              <w:jc w:val="center"/>
              <w:rPr>
                <w:rFonts w:cs="宋体"/>
                <w:bCs/>
                <w:kern w:val="0"/>
                <w:sz w:val="24"/>
                <w:szCs w:val="24"/>
              </w:rPr>
            </w:pPr>
            <w:r>
              <w:rPr>
                <w:rFonts w:hint="eastAsia" w:cs="宋体"/>
                <w:bCs/>
                <w:kern w:val="0"/>
                <w:sz w:val="24"/>
                <w:szCs w:val="24"/>
              </w:rPr>
              <w:t>亿m³</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rFonts w:cs="宋体"/>
                <w:bCs/>
                <w:kern w:val="0"/>
                <w:sz w:val="24"/>
                <w:szCs w:val="24"/>
              </w:rPr>
            </w:pPr>
            <w:r>
              <w:rPr>
                <w:rFonts w:hint="eastAsia" w:cs="宋体"/>
                <w:bCs/>
                <w:kern w:val="0"/>
                <w:sz w:val="24"/>
                <w:szCs w:val="24"/>
              </w:rPr>
              <w:t>mm</w:t>
            </w:r>
          </w:p>
        </w:tc>
        <w:tc>
          <w:tcPr>
            <w:tcW w:w="851" w:type="dxa"/>
            <w:tcBorders>
              <w:top w:val="nil"/>
              <w:left w:val="nil"/>
              <w:bottom w:val="single" w:color="auto" w:sz="4" w:space="0"/>
              <w:right w:val="single" w:color="auto" w:sz="4" w:space="0"/>
            </w:tcBorders>
            <w:shd w:val="clear" w:color="auto" w:fill="auto"/>
            <w:vAlign w:val="center"/>
          </w:tcPr>
          <w:p>
            <w:pPr>
              <w:widowControl/>
              <w:jc w:val="center"/>
              <w:rPr>
                <w:rFonts w:cs="宋体"/>
                <w:bCs/>
                <w:kern w:val="0"/>
                <w:sz w:val="24"/>
                <w:szCs w:val="24"/>
              </w:rPr>
            </w:pPr>
            <w:r>
              <w:rPr>
                <w:rFonts w:hint="eastAsia" w:cs="宋体"/>
                <w:bCs/>
                <w:kern w:val="0"/>
                <w:sz w:val="24"/>
                <w:szCs w:val="24"/>
              </w:rPr>
              <w:t>亿m³</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rFonts w:cs="宋体"/>
                <w:bCs/>
                <w:kern w:val="0"/>
                <w:sz w:val="24"/>
                <w:szCs w:val="24"/>
              </w:rPr>
            </w:pPr>
            <w:r>
              <w:rPr>
                <w:rFonts w:hint="eastAsia" w:cs="宋体"/>
                <w:bCs/>
                <w:kern w:val="0"/>
                <w:sz w:val="24"/>
                <w:szCs w:val="24"/>
              </w:rPr>
              <w:t>mm</w:t>
            </w:r>
          </w:p>
        </w:tc>
        <w:tc>
          <w:tcPr>
            <w:tcW w:w="851" w:type="dxa"/>
            <w:tcBorders>
              <w:top w:val="nil"/>
              <w:left w:val="nil"/>
              <w:bottom w:val="single" w:color="auto" w:sz="4" w:space="0"/>
              <w:right w:val="single" w:color="auto" w:sz="4" w:space="0"/>
            </w:tcBorders>
            <w:shd w:val="clear" w:color="auto" w:fill="auto"/>
            <w:vAlign w:val="center"/>
          </w:tcPr>
          <w:p>
            <w:pPr>
              <w:widowControl/>
              <w:jc w:val="center"/>
              <w:rPr>
                <w:rFonts w:cs="宋体"/>
                <w:bCs/>
                <w:kern w:val="0"/>
                <w:sz w:val="24"/>
                <w:szCs w:val="24"/>
              </w:rPr>
            </w:pPr>
            <w:r>
              <w:rPr>
                <w:rFonts w:hint="eastAsia" w:cs="宋体"/>
                <w:bCs/>
                <w:kern w:val="0"/>
                <w:sz w:val="24"/>
                <w:szCs w:val="24"/>
              </w:rPr>
              <w:t>亿m³</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rFonts w:cs="宋体"/>
                <w:bCs/>
                <w:kern w:val="0"/>
                <w:sz w:val="24"/>
                <w:szCs w:val="24"/>
              </w:rPr>
            </w:pPr>
            <w:r>
              <w:rPr>
                <w:rFonts w:hint="eastAsia" w:cs="宋体"/>
                <w:bCs/>
                <w:kern w:val="0"/>
                <w:sz w:val="24"/>
                <w:szCs w:val="24"/>
              </w:rPr>
              <w:t>%</w:t>
            </w:r>
          </w:p>
        </w:tc>
        <w:tc>
          <w:tcPr>
            <w:tcW w:w="851" w:type="dxa"/>
            <w:tcBorders>
              <w:top w:val="nil"/>
              <w:left w:val="nil"/>
              <w:bottom w:val="single" w:color="auto" w:sz="4" w:space="0"/>
              <w:right w:val="single" w:color="auto" w:sz="4" w:space="0"/>
            </w:tcBorders>
            <w:shd w:val="clear" w:color="auto" w:fill="auto"/>
            <w:vAlign w:val="center"/>
          </w:tcPr>
          <w:p>
            <w:pPr>
              <w:widowControl/>
              <w:jc w:val="center"/>
              <w:rPr>
                <w:rFonts w:cs="宋体"/>
                <w:bCs/>
                <w:kern w:val="0"/>
                <w:sz w:val="24"/>
                <w:szCs w:val="24"/>
              </w:rPr>
            </w:pPr>
            <w:r>
              <w:rPr>
                <w:rFonts w:hint="eastAsia" w:cs="宋体"/>
                <w:bCs/>
                <w:kern w:val="0"/>
                <w:sz w:val="24"/>
                <w:szCs w:val="24"/>
              </w:rPr>
              <w:t>%</w:t>
            </w:r>
          </w:p>
        </w:tc>
      </w:tr>
      <w:tr>
        <w:tblPrEx>
          <w:tblCellMar>
            <w:top w:w="0" w:type="dxa"/>
            <w:left w:w="108" w:type="dxa"/>
            <w:bottom w:w="0" w:type="dxa"/>
            <w:right w:w="108" w:type="dxa"/>
          </w:tblCellMar>
        </w:tblPrEx>
        <w:trPr>
          <w:trHeight w:val="380" w:hRule="atLeast"/>
        </w:trPr>
        <w:tc>
          <w:tcPr>
            <w:tcW w:w="856"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吉首市</w:t>
            </w:r>
          </w:p>
        </w:tc>
        <w:tc>
          <w:tcPr>
            <w:tcW w:w="709"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1062</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1328.3</w:t>
            </w:r>
          </w:p>
        </w:tc>
        <w:tc>
          <w:tcPr>
            <w:tcW w:w="851"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14.11</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889.92</w:t>
            </w:r>
          </w:p>
        </w:tc>
        <w:tc>
          <w:tcPr>
            <w:tcW w:w="851"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9.45</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943.5</w:t>
            </w:r>
          </w:p>
        </w:tc>
        <w:tc>
          <w:tcPr>
            <w:tcW w:w="851"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10.02</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49.3</w:t>
            </w:r>
          </w:p>
        </w:tc>
        <w:tc>
          <w:tcPr>
            <w:tcW w:w="851"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40.8</w:t>
            </w:r>
          </w:p>
        </w:tc>
      </w:tr>
      <w:tr>
        <w:tblPrEx>
          <w:tblCellMar>
            <w:top w:w="0" w:type="dxa"/>
            <w:left w:w="108" w:type="dxa"/>
            <w:bottom w:w="0" w:type="dxa"/>
            <w:right w:w="108" w:type="dxa"/>
          </w:tblCellMar>
        </w:tblPrEx>
        <w:trPr>
          <w:trHeight w:val="380" w:hRule="atLeast"/>
        </w:trPr>
        <w:tc>
          <w:tcPr>
            <w:tcW w:w="856"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泸溪县</w:t>
            </w:r>
          </w:p>
        </w:tc>
        <w:tc>
          <w:tcPr>
            <w:tcW w:w="709"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1569</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1302.82</w:t>
            </w:r>
          </w:p>
        </w:tc>
        <w:tc>
          <w:tcPr>
            <w:tcW w:w="851"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20.44</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768.14</w:t>
            </w:r>
          </w:p>
        </w:tc>
        <w:tc>
          <w:tcPr>
            <w:tcW w:w="851"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12.05</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724.67</w:t>
            </w:r>
          </w:p>
        </w:tc>
        <w:tc>
          <w:tcPr>
            <w:tcW w:w="851"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11.37</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69.6</w:t>
            </w:r>
          </w:p>
        </w:tc>
        <w:tc>
          <w:tcPr>
            <w:tcW w:w="851"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79.8</w:t>
            </w:r>
          </w:p>
        </w:tc>
      </w:tr>
      <w:tr>
        <w:tblPrEx>
          <w:tblCellMar>
            <w:top w:w="0" w:type="dxa"/>
            <w:left w:w="108" w:type="dxa"/>
            <w:bottom w:w="0" w:type="dxa"/>
            <w:right w:w="108" w:type="dxa"/>
          </w:tblCellMar>
        </w:tblPrEx>
        <w:trPr>
          <w:trHeight w:val="380" w:hRule="atLeast"/>
        </w:trPr>
        <w:tc>
          <w:tcPr>
            <w:tcW w:w="856"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凤凰县</w:t>
            </w:r>
          </w:p>
        </w:tc>
        <w:tc>
          <w:tcPr>
            <w:tcW w:w="709"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1751</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1134.94</w:t>
            </w:r>
          </w:p>
        </w:tc>
        <w:tc>
          <w:tcPr>
            <w:tcW w:w="851"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19.87</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821.35</w:t>
            </w:r>
          </w:p>
        </w:tc>
        <w:tc>
          <w:tcPr>
            <w:tcW w:w="851"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14.38</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700.74</w:t>
            </w:r>
          </w:p>
        </w:tc>
        <w:tc>
          <w:tcPr>
            <w:tcW w:w="851"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12.27</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38.2</w:t>
            </w:r>
          </w:p>
        </w:tc>
        <w:tc>
          <w:tcPr>
            <w:tcW w:w="851"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62.0</w:t>
            </w:r>
          </w:p>
        </w:tc>
      </w:tr>
      <w:tr>
        <w:tblPrEx>
          <w:tblCellMar>
            <w:top w:w="0" w:type="dxa"/>
            <w:left w:w="108" w:type="dxa"/>
            <w:bottom w:w="0" w:type="dxa"/>
            <w:right w:w="108" w:type="dxa"/>
          </w:tblCellMar>
        </w:tblPrEx>
        <w:trPr>
          <w:trHeight w:val="380" w:hRule="atLeast"/>
        </w:trPr>
        <w:tc>
          <w:tcPr>
            <w:tcW w:w="856"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花垣县</w:t>
            </w:r>
          </w:p>
        </w:tc>
        <w:tc>
          <w:tcPr>
            <w:tcW w:w="709"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1111</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1490.82</w:t>
            </w:r>
          </w:p>
        </w:tc>
        <w:tc>
          <w:tcPr>
            <w:tcW w:w="851"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16.56</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769.39</w:t>
            </w:r>
          </w:p>
        </w:tc>
        <w:tc>
          <w:tcPr>
            <w:tcW w:w="851"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8.55</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829.88</w:t>
            </w:r>
          </w:p>
        </w:tc>
        <w:tc>
          <w:tcPr>
            <w:tcW w:w="851"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9.22</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93.8</w:t>
            </w:r>
          </w:p>
        </w:tc>
        <w:tc>
          <w:tcPr>
            <w:tcW w:w="851"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79.6</w:t>
            </w:r>
          </w:p>
        </w:tc>
      </w:tr>
      <w:tr>
        <w:tblPrEx>
          <w:tblCellMar>
            <w:top w:w="0" w:type="dxa"/>
            <w:left w:w="108" w:type="dxa"/>
            <w:bottom w:w="0" w:type="dxa"/>
            <w:right w:w="108" w:type="dxa"/>
          </w:tblCellMar>
        </w:tblPrEx>
        <w:trPr>
          <w:trHeight w:val="380" w:hRule="atLeast"/>
        </w:trPr>
        <w:tc>
          <w:tcPr>
            <w:tcW w:w="856"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保靖县</w:t>
            </w:r>
          </w:p>
        </w:tc>
        <w:tc>
          <w:tcPr>
            <w:tcW w:w="709"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1746</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1516.57</w:t>
            </w:r>
          </w:p>
        </w:tc>
        <w:tc>
          <w:tcPr>
            <w:tcW w:w="851"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26.48</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675.58</w:t>
            </w:r>
          </w:p>
        </w:tc>
        <w:tc>
          <w:tcPr>
            <w:tcW w:w="851"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11.8</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816.72</w:t>
            </w:r>
          </w:p>
        </w:tc>
        <w:tc>
          <w:tcPr>
            <w:tcW w:w="851"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14.26</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124.5</w:t>
            </w:r>
          </w:p>
        </w:tc>
        <w:tc>
          <w:tcPr>
            <w:tcW w:w="851"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85.7</w:t>
            </w:r>
          </w:p>
        </w:tc>
      </w:tr>
      <w:tr>
        <w:tblPrEx>
          <w:tblCellMar>
            <w:top w:w="0" w:type="dxa"/>
            <w:left w:w="108" w:type="dxa"/>
            <w:bottom w:w="0" w:type="dxa"/>
            <w:right w:w="108" w:type="dxa"/>
          </w:tblCellMar>
        </w:tblPrEx>
        <w:trPr>
          <w:trHeight w:val="380" w:hRule="atLeast"/>
        </w:trPr>
        <w:tc>
          <w:tcPr>
            <w:tcW w:w="856"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古丈县</w:t>
            </w:r>
          </w:p>
        </w:tc>
        <w:tc>
          <w:tcPr>
            <w:tcW w:w="709"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1286</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1445.21</w:t>
            </w:r>
          </w:p>
        </w:tc>
        <w:tc>
          <w:tcPr>
            <w:tcW w:w="851"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18.59</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778.66</w:t>
            </w:r>
          </w:p>
        </w:tc>
        <w:tc>
          <w:tcPr>
            <w:tcW w:w="851"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10.01</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821.15</w:t>
            </w:r>
          </w:p>
        </w:tc>
        <w:tc>
          <w:tcPr>
            <w:tcW w:w="851"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10.56</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85.6</w:t>
            </w:r>
          </w:p>
        </w:tc>
        <w:tc>
          <w:tcPr>
            <w:tcW w:w="851"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76.0</w:t>
            </w:r>
          </w:p>
        </w:tc>
      </w:tr>
      <w:tr>
        <w:tblPrEx>
          <w:tblCellMar>
            <w:top w:w="0" w:type="dxa"/>
            <w:left w:w="108" w:type="dxa"/>
            <w:bottom w:w="0" w:type="dxa"/>
            <w:right w:w="108" w:type="dxa"/>
          </w:tblCellMar>
        </w:tblPrEx>
        <w:trPr>
          <w:trHeight w:val="380" w:hRule="atLeast"/>
        </w:trPr>
        <w:tc>
          <w:tcPr>
            <w:tcW w:w="856"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永顺县</w:t>
            </w:r>
          </w:p>
        </w:tc>
        <w:tc>
          <w:tcPr>
            <w:tcW w:w="709"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3810</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1610.99</w:t>
            </w:r>
          </w:p>
        </w:tc>
        <w:tc>
          <w:tcPr>
            <w:tcW w:w="851"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61.38</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749.55</w:t>
            </w:r>
          </w:p>
        </w:tc>
        <w:tc>
          <w:tcPr>
            <w:tcW w:w="851"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28.56</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824.15</w:t>
            </w:r>
          </w:p>
        </w:tc>
        <w:tc>
          <w:tcPr>
            <w:tcW w:w="851"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31.4</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114.9</w:t>
            </w:r>
          </w:p>
        </w:tc>
        <w:tc>
          <w:tcPr>
            <w:tcW w:w="851"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95.5</w:t>
            </w:r>
          </w:p>
        </w:tc>
      </w:tr>
      <w:tr>
        <w:tblPrEx>
          <w:tblCellMar>
            <w:top w:w="0" w:type="dxa"/>
            <w:left w:w="108" w:type="dxa"/>
            <w:bottom w:w="0" w:type="dxa"/>
            <w:right w:w="108" w:type="dxa"/>
          </w:tblCellMar>
        </w:tblPrEx>
        <w:trPr>
          <w:trHeight w:val="380" w:hRule="atLeast"/>
        </w:trPr>
        <w:tc>
          <w:tcPr>
            <w:tcW w:w="856"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龙山县</w:t>
            </w:r>
          </w:p>
        </w:tc>
        <w:tc>
          <w:tcPr>
            <w:tcW w:w="709"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3127</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1579.05</w:t>
            </w:r>
          </w:p>
        </w:tc>
        <w:tc>
          <w:tcPr>
            <w:tcW w:w="851"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49.38</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651.56</w:t>
            </w:r>
          </w:p>
        </w:tc>
        <w:tc>
          <w:tcPr>
            <w:tcW w:w="851"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20.37</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808.44</w:t>
            </w:r>
          </w:p>
        </w:tc>
        <w:tc>
          <w:tcPr>
            <w:tcW w:w="851"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25.28</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142.3</w:t>
            </w:r>
          </w:p>
        </w:tc>
        <w:tc>
          <w:tcPr>
            <w:tcW w:w="851"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95.3</w:t>
            </w:r>
          </w:p>
        </w:tc>
      </w:tr>
      <w:tr>
        <w:tblPrEx>
          <w:tblCellMar>
            <w:top w:w="0" w:type="dxa"/>
            <w:left w:w="108" w:type="dxa"/>
            <w:bottom w:w="0" w:type="dxa"/>
            <w:right w:w="108" w:type="dxa"/>
          </w:tblCellMar>
        </w:tblPrEx>
        <w:trPr>
          <w:trHeight w:val="380" w:hRule="atLeast"/>
        </w:trPr>
        <w:tc>
          <w:tcPr>
            <w:tcW w:w="856"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全州</w:t>
            </w:r>
          </w:p>
        </w:tc>
        <w:tc>
          <w:tcPr>
            <w:tcW w:w="709"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15462</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1466.85</w:t>
            </w:r>
          </w:p>
        </w:tc>
        <w:tc>
          <w:tcPr>
            <w:tcW w:w="851"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226.8</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744.89</w:t>
            </w:r>
          </w:p>
        </w:tc>
        <w:tc>
          <w:tcPr>
            <w:tcW w:w="851"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115.17</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808.43</w:t>
            </w:r>
          </w:p>
        </w:tc>
        <w:tc>
          <w:tcPr>
            <w:tcW w:w="851"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125</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96.9</w:t>
            </w:r>
          </w:p>
        </w:tc>
        <w:tc>
          <w:tcPr>
            <w:tcW w:w="851"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81.4</w:t>
            </w:r>
          </w:p>
        </w:tc>
      </w:tr>
    </w:tbl>
    <w:p>
      <w:pPr>
        <w:jc w:val="center"/>
        <w:rPr>
          <w:b/>
          <w:color w:val="000000" w:themeColor="text1"/>
          <w:sz w:val="28"/>
          <w:szCs w:val="28"/>
        </w:rPr>
      </w:pPr>
      <w:r>
        <w:rPr>
          <w:rFonts w:hint="eastAsia"/>
          <w:b/>
          <w:color w:val="000000" w:themeColor="text1"/>
          <w:sz w:val="28"/>
          <w:szCs w:val="28"/>
        </w:rPr>
        <w:t>△表2 2020年各行政分区地表水资源量与2019、多年平均比较</w:t>
      </w:r>
    </w:p>
    <w:p>
      <w:pPr>
        <w:rPr>
          <w:b/>
          <w:color w:val="000000" w:themeColor="text1"/>
          <w:sz w:val="28"/>
          <w:szCs w:val="28"/>
        </w:rPr>
      </w:pPr>
      <w:r>
        <w:rPr>
          <w:rFonts w:hint="eastAsia"/>
          <w:b/>
          <w:sz w:val="28"/>
          <w:szCs w:val="28"/>
        </w:rPr>
        <w:t>（三）地下水资源量</w:t>
      </w:r>
    </w:p>
    <w:p>
      <w:pPr>
        <w:ind w:firstLine="280" w:firstLineChars="100"/>
        <w:rPr>
          <w:color w:val="000000" w:themeColor="text1"/>
          <w:sz w:val="28"/>
          <w:szCs w:val="28"/>
        </w:rPr>
      </w:pPr>
      <w:r>
        <w:rPr>
          <w:color w:val="000000" w:themeColor="text1"/>
          <w:sz w:val="28"/>
          <w:szCs w:val="28"/>
        </w:rPr>
        <w:t>20</w:t>
      </w:r>
      <w:r>
        <w:rPr>
          <w:rFonts w:hint="eastAsia"/>
          <w:color w:val="000000" w:themeColor="text1"/>
          <w:sz w:val="28"/>
          <w:szCs w:val="28"/>
        </w:rPr>
        <w:t>20</w:t>
      </w:r>
      <w:r>
        <w:rPr>
          <w:color w:val="000000" w:themeColor="text1"/>
          <w:sz w:val="28"/>
          <w:szCs w:val="28"/>
        </w:rPr>
        <w:t>年全州地下水资源量</w:t>
      </w:r>
      <w:r>
        <w:rPr>
          <w:rFonts w:hint="eastAsia"/>
          <w:color w:val="000000" w:themeColor="text1"/>
          <w:sz w:val="28"/>
          <w:szCs w:val="28"/>
        </w:rPr>
        <w:t>36.94</w:t>
      </w:r>
      <w:r>
        <w:rPr>
          <w:color w:val="000000" w:themeColor="text1"/>
          <w:sz w:val="28"/>
          <w:szCs w:val="28"/>
        </w:rPr>
        <w:t>亿</w:t>
      </w:r>
      <w:r>
        <w:rPr>
          <w:rFonts w:hint="eastAsia"/>
          <w:sz w:val="28"/>
          <w:szCs w:val="28"/>
        </w:rPr>
        <w:t>m</w:t>
      </w:r>
      <w:r>
        <w:rPr>
          <w:rFonts w:hint="eastAsia"/>
          <w:sz w:val="28"/>
          <w:szCs w:val="28"/>
          <w:vertAlign w:val="superscript"/>
        </w:rPr>
        <w:t>3</w:t>
      </w:r>
      <w:r>
        <w:rPr>
          <w:color w:val="000000" w:themeColor="text1"/>
          <w:sz w:val="28"/>
          <w:szCs w:val="28"/>
        </w:rPr>
        <w:t>，比上年增加</w:t>
      </w:r>
      <w:r>
        <w:rPr>
          <w:rFonts w:hint="eastAsia"/>
          <w:color w:val="000000" w:themeColor="text1"/>
          <w:sz w:val="28"/>
          <w:szCs w:val="28"/>
        </w:rPr>
        <w:t>71.5</w:t>
      </w:r>
      <w:r>
        <w:rPr>
          <w:color w:val="000000" w:themeColor="text1"/>
          <w:sz w:val="28"/>
          <w:szCs w:val="28"/>
        </w:rPr>
        <w:t>%，地下水径流模数</w:t>
      </w:r>
      <w:r>
        <w:rPr>
          <w:rFonts w:hint="eastAsia"/>
          <w:color w:val="000000" w:themeColor="text1"/>
          <w:sz w:val="28"/>
          <w:szCs w:val="28"/>
        </w:rPr>
        <w:t>23.89</w:t>
      </w:r>
      <w:r>
        <w:rPr>
          <w:color w:val="000000" w:themeColor="text1"/>
          <w:sz w:val="28"/>
          <w:szCs w:val="28"/>
        </w:rPr>
        <w:t>万立方米/平方公里•年。地表水与地下水资源重复计算量为</w:t>
      </w:r>
      <w:r>
        <w:rPr>
          <w:rFonts w:hint="eastAsia"/>
          <w:color w:val="000000" w:themeColor="text1"/>
          <w:sz w:val="28"/>
          <w:szCs w:val="28"/>
        </w:rPr>
        <w:t>36.94</w:t>
      </w:r>
      <w:r>
        <w:rPr>
          <w:color w:val="000000" w:themeColor="text1"/>
          <w:sz w:val="28"/>
          <w:szCs w:val="28"/>
        </w:rPr>
        <w:t>亿</w:t>
      </w:r>
      <w:r>
        <w:rPr>
          <w:rFonts w:hint="eastAsia"/>
          <w:sz w:val="28"/>
          <w:szCs w:val="28"/>
        </w:rPr>
        <w:t>m</w:t>
      </w:r>
      <w:r>
        <w:rPr>
          <w:rFonts w:hint="eastAsia"/>
          <w:sz w:val="28"/>
          <w:szCs w:val="28"/>
          <w:vertAlign w:val="superscript"/>
        </w:rPr>
        <w:t>3</w:t>
      </w:r>
      <w:r>
        <w:rPr>
          <w:color w:val="000000" w:themeColor="text1"/>
          <w:sz w:val="28"/>
          <w:szCs w:val="28"/>
        </w:rPr>
        <w:t>。</w:t>
      </w:r>
      <w:r>
        <w:rPr>
          <w:rFonts w:hint="eastAsia"/>
          <w:color w:val="000000" w:themeColor="text1"/>
          <w:sz w:val="28"/>
          <w:szCs w:val="28"/>
        </w:rPr>
        <w:t>2020年各行政分区地下水资源量与2019年比较表见表3。</w:t>
      </w:r>
    </w:p>
    <w:tbl>
      <w:tblPr>
        <w:tblStyle w:val="11"/>
        <w:tblW w:w="8369" w:type="dxa"/>
        <w:tblInd w:w="103" w:type="dxa"/>
        <w:tblLayout w:type="autofit"/>
        <w:tblCellMar>
          <w:top w:w="0" w:type="dxa"/>
          <w:left w:w="108" w:type="dxa"/>
          <w:bottom w:w="0" w:type="dxa"/>
          <w:right w:w="108" w:type="dxa"/>
        </w:tblCellMar>
      </w:tblPr>
      <w:tblGrid>
        <w:gridCol w:w="856"/>
        <w:gridCol w:w="709"/>
        <w:gridCol w:w="992"/>
        <w:gridCol w:w="992"/>
        <w:gridCol w:w="992"/>
        <w:gridCol w:w="993"/>
        <w:gridCol w:w="992"/>
        <w:gridCol w:w="992"/>
        <w:gridCol w:w="851"/>
      </w:tblGrid>
      <w:tr>
        <w:tblPrEx>
          <w:tblCellMar>
            <w:top w:w="0" w:type="dxa"/>
            <w:left w:w="108" w:type="dxa"/>
            <w:bottom w:w="0" w:type="dxa"/>
            <w:right w:w="108" w:type="dxa"/>
          </w:tblCellMar>
        </w:tblPrEx>
        <w:trPr>
          <w:trHeight w:val="540" w:hRule="atLeast"/>
        </w:trPr>
        <w:tc>
          <w:tcPr>
            <w:tcW w:w="856"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cs="宋体"/>
                <w:b/>
                <w:bCs/>
                <w:kern w:val="0"/>
                <w:sz w:val="18"/>
                <w:szCs w:val="18"/>
              </w:rPr>
            </w:pPr>
            <w:r>
              <w:rPr>
                <w:rFonts w:hint="eastAsia" w:cs="宋体"/>
                <w:b/>
                <w:bCs/>
                <w:kern w:val="0"/>
                <w:sz w:val="18"/>
                <w:szCs w:val="18"/>
              </w:rPr>
              <w:t>行政  区划</w:t>
            </w:r>
          </w:p>
        </w:tc>
        <w:tc>
          <w:tcPr>
            <w:tcW w:w="709" w:type="dxa"/>
            <w:tcBorders>
              <w:top w:val="single" w:color="auto" w:sz="4" w:space="0"/>
              <w:left w:val="nil"/>
              <w:bottom w:val="single" w:color="auto" w:sz="4" w:space="0"/>
              <w:right w:val="single" w:color="auto" w:sz="4" w:space="0"/>
            </w:tcBorders>
            <w:shd w:val="clear" w:color="auto" w:fill="auto"/>
            <w:vAlign w:val="center"/>
          </w:tcPr>
          <w:p>
            <w:pPr>
              <w:widowControl/>
              <w:jc w:val="center"/>
              <w:rPr>
                <w:rFonts w:cs="宋体"/>
                <w:b/>
                <w:bCs/>
                <w:kern w:val="0"/>
                <w:sz w:val="18"/>
                <w:szCs w:val="18"/>
              </w:rPr>
            </w:pPr>
            <w:r>
              <w:rPr>
                <w:rFonts w:hint="eastAsia" w:cs="宋体"/>
                <w:b/>
                <w:bCs/>
                <w:kern w:val="0"/>
                <w:sz w:val="18"/>
                <w:szCs w:val="18"/>
              </w:rPr>
              <w:t>面积</w:t>
            </w:r>
          </w:p>
        </w:tc>
        <w:tc>
          <w:tcPr>
            <w:tcW w:w="1984" w:type="dxa"/>
            <w:gridSpan w:val="2"/>
            <w:tcBorders>
              <w:top w:val="single" w:color="auto" w:sz="4" w:space="0"/>
              <w:left w:val="nil"/>
              <w:bottom w:val="single" w:color="auto" w:sz="4" w:space="0"/>
              <w:right w:val="single" w:color="auto" w:sz="4" w:space="0"/>
            </w:tcBorders>
            <w:shd w:val="clear" w:color="auto" w:fill="auto"/>
            <w:vAlign w:val="center"/>
          </w:tcPr>
          <w:p>
            <w:pPr>
              <w:widowControl/>
              <w:jc w:val="center"/>
              <w:rPr>
                <w:rFonts w:cs="宋体"/>
                <w:b/>
                <w:bCs/>
                <w:kern w:val="0"/>
                <w:sz w:val="18"/>
                <w:szCs w:val="18"/>
              </w:rPr>
            </w:pPr>
            <w:r>
              <w:rPr>
                <w:rFonts w:hint="eastAsia" w:cs="宋体"/>
                <w:b/>
                <w:bCs/>
                <w:kern w:val="0"/>
                <w:sz w:val="18"/>
                <w:szCs w:val="18"/>
              </w:rPr>
              <w:t>地下水资源量</w:t>
            </w:r>
          </w:p>
        </w:tc>
        <w:tc>
          <w:tcPr>
            <w:tcW w:w="1985" w:type="dxa"/>
            <w:gridSpan w:val="2"/>
            <w:tcBorders>
              <w:top w:val="single" w:color="auto" w:sz="4" w:space="0"/>
              <w:left w:val="nil"/>
              <w:bottom w:val="single" w:color="auto" w:sz="4" w:space="0"/>
              <w:right w:val="single" w:color="auto" w:sz="4" w:space="0"/>
            </w:tcBorders>
            <w:shd w:val="clear" w:color="auto" w:fill="auto"/>
            <w:vAlign w:val="center"/>
          </w:tcPr>
          <w:p>
            <w:pPr>
              <w:widowControl/>
              <w:jc w:val="center"/>
              <w:rPr>
                <w:rFonts w:cs="宋体"/>
                <w:b/>
                <w:bCs/>
                <w:kern w:val="0"/>
                <w:sz w:val="18"/>
                <w:szCs w:val="18"/>
              </w:rPr>
            </w:pPr>
            <w:r>
              <w:rPr>
                <w:rFonts w:hint="eastAsia" w:cs="宋体"/>
                <w:b/>
                <w:bCs/>
                <w:kern w:val="0"/>
                <w:sz w:val="18"/>
                <w:szCs w:val="18"/>
              </w:rPr>
              <w:t>2019年地下水量</w:t>
            </w:r>
          </w:p>
        </w:tc>
        <w:tc>
          <w:tcPr>
            <w:tcW w:w="992" w:type="dxa"/>
            <w:tcBorders>
              <w:top w:val="single" w:color="auto" w:sz="4" w:space="0"/>
              <w:left w:val="nil"/>
              <w:bottom w:val="single" w:color="auto" w:sz="4" w:space="0"/>
              <w:right w:val="single" w:color="auto" w:sz="4" w:space="0"/>
            </w:tcBorders>
            <w:shd w:val="clear" w:color="auto" w:fill="auto"/>
            <w:vAlign w:val="center"/>
          </w:tcPr>
          <w:p>
            <w:pPr>
              <w:widowControl/>
              <w:jc w:val="center"/>
              <w:rPr>
                <w:rFonts w:cs="宋体"/>
                <w:b/>
                <w:bCs/>
                <w:kern w:val="0"/>
                <w:sz w:val="18"/>
                <w:szCs w:val="18"/>
              </w:rPr>
            </w:pPr>
            <w:r>
              <w:rPr>
                <w:rFonts w:hint="eastAsia" w:cs="宋体"/>
                <w:b/>
                <w:bCs/>
                <w:kern w:val="0"/>
                <w:sz w:val="18"/>
                <w:szCs w:val="18"/>
              </w:rPr>
              <w:t>重复计算量</w:t>
            </w:r>
          </w:p>
        </w:tc>
        <w:tc>
          <w:tcPr>
            <w:tcW w:w="992" w:type="dxa"/>
            <w:tcBorders>
              <w:top w:val="single" w:color="auto" w:sz="4" w:space="0"/>
              <w:left w:val="nil"/>
              <w:bottom w:val="single" w:color="auto" w:sz="4" w:space="0"/>
              <w:right w:val="single" w:color="auto" w:sz="4" w:space="0"/>
            </w:tcBorders>
            <w:shd w:val="clear" w:color="auto" w:fill="auto"/>
            <w:vAlign w:val="center"/>
          </w:tcPr>
          <w:p>
            <w:pPr>
              <w:widowControl/>
              <w:jc w:val="center"/>
              <w:rPr>
                <w:rFonts w:cs="宋体"/>
                <w:b/>
                <w:bCs/>
                <w:kern w:val="0"/>
                <w:sz w:val="18"/>
                <w:szCs w:val="18"/>
              </w:rPr>
            </w:pPr>
            <w:r>
              <w:rPr>
                <w:rFonts w:hint="eastAsia" w:cs="宋体"/>
                <w:b/>
                <w:bCs/>
                <w:kern w:val="0"/>
                <w:sz w:val="18"/>
                <w:szCs w:val="18"/>
              </w:rPr>
              <w:t>模数</w:t>
            </w:r>
          </w:p>
        </w:tc>
        <w:tc>
          <w:tcPr>
            <w:tcW w:w="851" w:type="dxa"/>
            <w:tcBorders>
              <w:top w:val="single" w:color="auto" w:sz="4" w:space="0"/>
              <w:left w:val="nil"/>
              <w:bottom w:val="single" w:color="auto" w:sz="4" w:space="0"/>
              <w:right w:val="single" w:color="auto" w:sz="4" w:space="0"/>
            </w:tcBorders>
            <w:shd w:val="clear" w:color="auto" w:fill="auto"/>
            <w:vAlign w:val="center"/>
          </w:tcPr>
          <w:p>
            <w:pPr>
              <w:widowControl/>
              <w:jc w:val="center"/>
              <w:rPr>
                <w:rFonts w:cs="宋体"/>
                <w:b/>
                <w:bCs/>
                <w:kern w:val="0"/>
                <w:sz w:val="18"/>
                <w:szCs w:val="18"/>
              </w:rPr>
            </w:pPr>
            <w:r>
              <w:rPr>
                <w:rFonts w:hint="eastAsia" w:cs="宋体"/>
                <w:b/>
                <w:bCs/>
                <w:kern w:val="0"/>
                <w:sz w:val="18"/>
                <w:szCs w:val="18"/>
              </w:rPr>
              <w:t>与上年比较</w:t>
            </w:r>
          </w:p>
        </w:tc>
      </w:tr>
      <w:tr>
        <w:tblPrEx>
          <w:tblCellMar>
            <w:top w:w="0" w:type="dxa"/>
            <w:left w:w="108" w:type="dxa"/>
            <w:bottom w:w="0" w:type="dxa"/>
            <w:right w:w="108" w:type="dxa"/>
          </w:tblCellMar>
        </w:tblPrEx>
        <w:trPr>
          <w:trHeight w:val="540" w:hRule="atLeast"/>
        </w:trPr>
        <w:tc>
          <w:tcPr>
            <w:tcW w:w="856" w:type="dxa"/>
            <w:vMerge w:val="continue"/>
            <w:tcBorders>
              <w:top w:val="single" w:color="auto" w:sz="4" w:space="0"/>
              <w:left w:val="single" w:color="auto" w:sz="4" w:space="0"/>
              <w:bottom w:val="single" w:color="auto" w:sz="4" w:space="0"/>
              <w:right w:val="single" w:color="auto" w:sz="4" w:space="0"/>
            </w:tcBorders>
            <w:vAlign w:val="center"/>
          </w:tcPr>
          <w:p>
            <w:pPr>
              <w:widowControl/>
              <w:jc w:val="center"/>
              <w:rPr>
                <w:rFonts w:cs="宋体"/>
                <w:b/>
                <w:bCs/>
                <w:kern w:val="0"/>
                <w:sz w:val="18"/>
                <w:szCs w:val="18"/>
              </w:rPr>
            </w:pPr>
          </w:p>
        </w:tc>
        <w:tc>
          <w:tcPr>
            <w:tcW w:w="709" w:type="dxa"/>
            <w:tcBorders>
              <w:top w:val="nil"/>
              <w:left w:val="nil"/>
              <w:bottom w:val="single" w:color="auto" w:sz="4" w:space="0"/>
              <w:right w:val="single" w:color="auto" w:sz="4" w:space="0"/>
            </w:tcBorders>
            <w:shd w:val="clear" w:color="auto" w:fill="auto"/>
            <w:vAlign w:val="center"/>
          </w:tcPr>
          <w:p>
            <w:pPr>
              <w:widowControl/>
              <w:jc w:val="center"/>
              <w:rPr>
                <w:rFonts w:cs="宋体"/>
                <w:bCs/>
                <w:kern w:val="0"/>
                <w:sz w:val="24"/>
                <w:szCs w:val="24"/>
              </w:rPr>
            </w:pPr>
            <w:r>
              <w:rPr>
                <w:rFonts w:hint="eastAsia" w:cs="宋体"/>
                <w:bCs/>
                <w:kern w:val="0"/>
                <w:sz w:val="24"/>
                <w:szCs w:val="24"/>
              </w:rPr>
              <w:t>k㎡</w:t>
            </w:r>
          </w:p>
        </w:tc>
        <w:tc>
          <w:tcPr>
            <w:tcW w:w="992" w:type="dxa"/>
            <w:tcBorders>
              <w:top w:val="nil"/>
              <w:left w:val="nil"/>
              <w:bottom w:val="single" w:color="auto" w:sz="4" w:space="0"/>
              <w:right w:val="single" w:color="auto" w:sz="4" w:space="0"/>
            </w:tcBorders>
            <w:shd w:val="clear" w:color="auto" w:fill="auto"/>
            <w:vAlign w:val="center"/>
          </w:tcPr>
          <w:p>
            <w:pPr>
              <w:widowControl/>
              <w:jc w:val="center"/>
              <w:rPr>
                <w:rFonts w:cs="宋体"/>
                <w:bCs/>
                <w:kern w:val="0"/>
                <w:sz w:val="24"/>
                <w:szCs w:val="24"/>
              </w:rPr>
            </w:pPr>
            <w:r>
              <w:rPr>
                <w:rFonts w:hint="eastAsia" w:cs="宋体"/>
                <w:bCs/>
                <w:kern w:val="0"/>
                <w:sz w:val="24"/>
                <w:szCs w:val="24"/>
              </w:rPr>
              <w:t>mm</w:t>
            </w:r>
          </w:p>
        </w:tc>
        <w:tc>
          <w:tcPr>
            <w:tcW w:w="992" w:type="dxa"/>
            <w:tcBorders>
              <w:top w:val="nil"/>
              <w:left w:val="nil"/>
              <w:bottom w:val="single" w:color="auto" w:sz="4" w:space="0"/>
              <w:right w:val="single" w:color="auto" w:sz="4" w:space="0"/>
            </w:tcBorders>
            <w:shd w:val="clear" w:color="auto" w:fill="auto"/>
            <w:vAlign w:val="center"/>
          </w:tcPr>
          <w:p>
            <w:pPr>
              <w:widowControl/>
              <w:jc w:val="center"/>
              <w:rPr>
                <w:rFonts w:cs="宋体"/>
                <w:bCs/>
                <w:kern w:val="0"/>
                <w:sz w:val="24"/>
                <w:szCs w:val="24"/>
              </w:rPr>
            </w:pPr>
            <w:r>
              <w:rPr>
                <w:rFonts w:hint="eastAsia" w:cs="宋体"/>
                <w:bCs/>
                <w:kern w:val="0"/>
                <w:sz w:val="24"/>
                <w:szCs w:val="24"/>
              </w:rPr>
              <w:t>亿m³</w:t>
            </w:r>
          </w:p>
        </w:tc>
        <w:tc>
          <w:tcPr>
            <w:tcW w:w="992" w:type="dxa"/>
            <w:tcBorders>
              <w:top w:val="nil"/>
              <w:left w:val="nil"/>
              <w:bottom w:val="single" w:color="auto" w:sz="4" w:space="0"/>
              <w:right w:val="single" w:color="auto" w:sz="4" w:space="0"/>
            </w:tcBorders>
            <w:shd w:val="clear" w:color="auto" w:fill="auto"/>
            <w:vAlign w:val="center"/>
          </w:tcPr>
          <w:p>
            <w:pPr>
              <w:widowControl/>
              <w:jc w:val="center"/>
              <w:rPr>
                <w:rFonts w:cs="宋体"/>
                <w:bCs/>
                <w:kern w:val="0"/>
                <w:sz w:val="24"/>
                <w:szCs w:val="24"/>
              </w:rPr>
            </w:pPr>
            <w:r>
              <w:rPr>
                <w:rFonts w:hint="eastAsia" w:cs="宋体"/>
                <w:bCs/>
                <w:kern w:val="0"/>
                <w:sz w:val="24"/>
                <w:szCs w:val="24"/>
              </w:rPr>
              <w:t>mm</w:t>
            </w:r>
          </w:p>
        </w:tc>
        <w:tc>
          <w:tcPr>
            <w:tcW w:w="993" w:type="dxa"/>
            <w:tcBorders>
              <w:top w:val="nil"/>
              <w:left w:val="nil"/>
              <w:bottom w:val="single" w:color="auto" w:sz="4" w:space="0"/>
              <w:right w:val="single" w:color="auto" w:sz="4" w:space="0"/>
            </w:tcBorders>
            <w:shd w:val="clear" w:color="auto" w:fill="auto"/>
            <w:vAlign w:val="center"/>
          </w:tcPr>
          <w:p>
            <w:pPr>
              <w:widowControl/>
              <w:jc w:val="center"/>
              <w:rPr>
                <w:rFonts w:cs="宋体"/>
                <w:bCs/>
                <w:kern w:val="0"/>
                <w:sz w:val="24"/>
                <w:szCs w:val="24"/>
              </w:rPr>
            </w:pPr>
            <w:r>
              <w:rPr>
                <w:rFonts w:hint="eastAsia" w:cs="宋体"/>
                <w:bCs/>
                <w:kern w:val="0"/>
                <w:sz w:val="24"/>
                <w:szCs w:val="24"/>
              </w:rPr>
              <w:t>亿m³</w:t>
            </w:r>
          </w:p>
        </w:tc>
        <w:tc>
          <w:tcPr>
            <w:tcW w:w="992" w:type="dxa"/>
            <w:tcBorders>
              <w:top w:val="nil"/>
              <w:left w:val="nil"/>
              <w:bottom w:val="single" w:color="auto" w:sz="4" w:space="0"/>
              <w:right w:val="single" w:color="auto" w:sz="4" w:space="0"/>
            </w:tcBorders>
            <w:shd w:val="clear" w:color="auto" w:fill="auto"/>
            <w:vAlign w:val="center"/>
          </w:tcPr>
          <w:p>
            <w:pPr>
              <w:widowControl/>
              <w:jc w:val="center"/>
              <w:rPr>
                <w:rFonts w:cs="宋体"/>
                <w:bCs/>
                <w:kern w:val="0"/>
                <w:sz w:val="24"/>
                <w:szCs w:val="24"/>
              </w:rPr>
            </w:pPr>
            <w:r>
              <w:rPr>
                <w:rFonts w:hint="eastAsia" w:cs="宋体"/>
                <w:bCs/>
                <w:kern w:val="0"/>
                <w:sz w:val="24"/>
                <w:szCs w:val="24"/>
              </w:rPr>
              <w:t>亿m³</w:t>
            </w:r>
          </w:p>
        </w:tc>
        <w:tc>
          <w:tcPr>
            <w:tcW w:w="992" w:type="dxa"/>
            <w:tcBorders>
              <w:top w:val="nil"/>
              <w:left w:val="nil"/>
              <w:bottom w:val="single" w:color="auto" w:sz="4" w:space="0"/>
              <w:right w:val="single" w:color="auto" w:sz="4" w:space="0"/>
            </w:tcBorders>
            <w:shd w:val="clear" w:color="auto" w:fill="auto"/>
            <w:vAlign w:val="center"/>
          </w:tcPr>
          <w:p>
            <w:pPr>
              <w:widowControl/>
              <w:jc w:val="center"/>
              <w:rPr>
                <w:rFonts w:cs="宋体"/>
                <w:bCs/>
                <w:kern w:val="0"/>
                <w:sz w:val="24"/>
                <w:szCs w:val="24"/>
              </w:rPr>
            </w:pPr>
            <w:r>
              <w:rPr>
                <w:rFonts w:hint="eastAsia" w:cs="宋体"/>
                <w:bCs/>
                <w:kern w:val="0"/>
                <w:sz w:val="24"/>
                <w:szCs w:val="24"/>
              </w:rPr>
              <w:t>万m³/k㎡年</w:t>
            </w:r>
          </w:p>
        </w:tc>
        <w:tc>
          <w:tcPr>
            <w:tcW w:w="851" w:type="dxa"/>
            <w:tcBorders>
              <w:top w:val="nil"/>
              <w:left w:val="nil"/>
              <w:bottom w:val="single" w:color="auto" w:sz="4" w:space="0"/>
              <w:right w:val="single" w:color="auto" w:sz="4" w:space="0"/>
            </w:tcBorders>
            <w:shd w:val="clear" w:color="auto" w:fill="auto"/>
            <w:vAlign w:val="center"/>
          </w:tcPr>
          <w:p>
            <w:pPr>
              <w:widowControl/>
              <w:jc w:val="center"/>
              <w:rPr>
                <w:rFonts w:cs="宋体"/>
                <w:bCs/>
                <w:kern w:val="0"/>
                <w:sz w:val="24"/>
                <w:szCs w:val="24"/>
              </w:rPr>
            </w:pPr>
            <w:r>
              <w:rPr>
                <w:rFonts w:hint="eastAsia" w:cs="宋体"/>
                <w:bCs/>
                <w:kern w:val="0"/>
                <w:sz w:val="24"/>
                <w:szCs w:val="24"/>
              </w:rPr>
              <w:t>%</w:t>
            </w:r>
          </w:p>
        </w:tc>
      </w:tr>
      <w:tr>
        <w:tblPrEx>
          <w:tblCellMar>
            <w:top w:w="0" w:type="dxa"/>
            <w:left w:w="108" w:type="dxa"/>
            <w:bottom w:w="0" w:type="dxa"/>
            <w:right w:w="108" w:type="dxa"/>
          </w:tblCellMar>
        </w:tblPrEx>
        <w:trPr>
          <w:trHeight w:val="372" w:hRule="atLeast"/>
        </w:trPr>
        <w:tc>
          <w:tcPr>
            <w:tcW w:w="856"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吉首市</w:t>
            </w:r>
          </w:p>
        </w:tc>
        <w:tc>
          <w:tcPr>
            <w:tcW w:w="709"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1062</w:t>
            </w:r>
          </w:p>
        </w:tc>
        <w:tc>
          <w:tcPr>
            <w:tcW w:w="992"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203.7</w:t>
            </w:r>
          </w:p>
        </w:tc>
        <w:tc>
          <w:tcPr>
            <w:tcW w:w="992"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2.16</w:t>
            </w:r>
          </w:p>
        </w:tc>
        <w:tc>
          <w:tcPr>
            <w:tcW w:w="992"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167.8</w:t>
            </w:r>
          </w:p>
        </w:tc>
        <w:tc>
          <w:tcPr>
            <w:tcW w:w="993"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1.78</w:t>
            </w:r>
          </w:p>
        </w:tc>
        <w:tc>
          <w:tcPr>
            <w:tcW w:w="992"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2.16</w:t>
            </w:r>
          </w:p>
        </w:tc>
        <w:tc>
          <w:tcPr>
            <w:tcW w:w="992"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20.37</w:t>
            </w:r>
          </w:p>
        </w:tc>
        <w:tc>
          <w:tcPr>
            <w:tcW w:w="851"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21.4</w:t>
            </w:r>
          </w:p>
        </w:tc>
      </w:tr>
      <w:tr>
        <w:tblPrEx>
          <w:tblCellMar>
            <w:top w:w="0" w:type="dxa"/>
            <w:left w:w="108" w:type="dxa"/>
            <w:bottom w:w="0" w:type="dxa"/>
            <w:right w:w="108" w:type="dxa"/>
          </w:tblCellMar>
        </w:tblPrEx>
        <w:trPr>
          <w:trHeight w:val="372" w:hRule="atLeast"/>
        </w:trPr>
        <w:tc>
          <w:tcPr>
            <w:tcW w:w="856"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泸溪县</w:t>
            </w:r>
          </w:p>
        </w:tc>
        <w:tc>
          <w:tcPr>
            <w:tcW w:w="709"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1569</w:t>
            </w:r>
          </w:p>
        </w:tc>
        <w:tc>
          <w:tcPr>
            <w:tcW w:w="992"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219.2</w:t>
            </w:r>
          </w:p>
        </w:tc>
        <w:tc>
          <w:tcPr>
            <w:tcW w:w="992"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3.44</w:t>
            </w:r>
          </w:p>
        </w:tc>
        <w:tc>
          <w:tcPr>
            <w:tcW w:w="992"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211.5</w:t>
            </w:r>
          </w:p>
        </w:tc>
        <w:tc>
          <w:tcPr>
            <w:tcW w:w="993"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3.32</w:t>
            </w:r>
          </w:p>
        </w:tc>
        <w:tc>
          <w:tcPr>
            <w:tcW w:w="992"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3.44</w:t>
            </w:r>
          </w:p>
        </w:tc>
        <w:tc>
          <w:tcPr>
            <w:tcW w:w="992"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21.92</w:t>
            </w:r>
          </w:p>
        </w:tc>
        <w:tc>
          <w:tcPr>
            <w:tcW w:w="851"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3.6</w:t>
            </w:r>
          </w:p>
        </w:tc>
      </w:tr>
      <w:tr>
        <w:tblPrEx>
          <w:tblCellMar>
            <w:top w:w="0" w:type="dxa"/>
            <w:left w:w="108" w:type="dxa"/>
            <w:bottom w:w="0" w:type="dxa"/>
            <w:right w:w="108" w:type="dxa"/>
          </w:tblCellMar>
        </w:tblPrEx>
        <w:trPr>
          <w:trHeight w:val="108" w:hRule="atLeast"/>
        </w:trPr>
        <w:tc>
          <w:tcPr>
            <w:tcW w:w="856"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凤凰县</w:t>
            </w:r>
          </w:p>
        </w:tc>
        <w:tc>
          <w:tcPr>
            <w:tcW w:w="709"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1751</w:t>
            </w:r>
          </w:p>
        </w:tc>
        <w:tc>
          <w:tcPr>
            <w:tcW w:w="992"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218.3</w:t>
            </w:r>
          </w:p>
        </w:tc>
        <w:tc>
          <w:tcPr>
            <w:tcW w:w="992"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3.82</w:t>
            </w:r>
          </w:p>
        </w:tc>
        <w:tc>
          <w:tcPr>
            <w:tcW w:w="992"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166.2</w:t>
            </w:r>
          </w:p>
        </w:tc>
        <w:tc>
          <w:tcPr>
            <w:tcW w:w="993"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2.91</w:t>
            </w:r>
          </w:p>
        </w:tc>
        <w:tc>
          <w:tcPr>
            <w:tcW w:w="992"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3.82</w:t>
            </w:r>
          </w:p>
        </w:tc>
        <w:tc>
          <w:tcPr>
            <w:tcW w:w="992"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21.83</w:t>
            </w:r>
          </w:p>
        </w:tc>
        <w:tc>
          <w:tcPr>
            <w:tcW w:w="851"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31.4</w:t>
            </w:r>
          </w:p>
        </w:tc>
      </w:tr>
      <w:tr>
        <w:tblPrEx>
          <w:tblCellMar>
            <w:top w:w="0" w:type="dxa"/>
            <w:left w:w="108" w:type="dxa"/>
            <w:bottom w:w="0" w:type="dxa"/>
            <w:right w:w="108" w:type="dxa"/>
          </w:tblCellMar>
        </w:tblPrEx>
        <w:trPr>
          <w:trHeight w:val="156" w:hRule="atLeast"/>
        </w:trPr>
        <w:tc>
          <w:tcPr>
            <w:tcW w:w="856"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花垣县</w:t>
            </w:r>
          </w:p>
        </w:tc>
        <w:tc>
          <w:tcPr>
            <w:tcW w:w="709"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1111</w:t>
            </w:r>
          </w:p>
        </w:tc>
        <w:tc>
          <w:tcPr>
            <w:tcW w:w="992"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236.8</w:t>
            </w:r>
          </w:p>
        </w:tc>
        <w:tc>
          <w:tcPr>
            <w:tcW w:w="992"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2.63</w:t>
            </w:r>
          </w:p>
        </w:tc>
        <w:tc>
          <w:tcPr>
            <w:tcW w:w="992"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137.9</w:t>
            </w:r>
          </w:p>
        </w:tc>
        <w:tc>
          <w:tcPr>
            <w:tcW w:w="993"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1.53</w:t>
            </w:r>
          </w:p>
        </w:tc>
        <w:tc>
          <w:tcPr>
            <w:tcW w:w="992"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2.63</w:t>
            </w:r>
          </w:p>
        </w:tc>
        <w:tc>
          <w:tcPr>
            <w:tcW w:w="992"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23.68</w:t>
            </w:r>
          </w:p>
        </w:tc>
        <w:tc>
          <w:tcPr>
            <w:tcW w:w="851"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71.7</w:t>
            </w:r>
          </w:p>
        </w:tc>
      </w:tr>
      <w:tr>
        <w:tblPrEx>
          <w:tblCellMar>
            <w:top w:w="0" w:type="dxa"/>
            <w:left w:w="108" w:type="dxa"/>
            <w:bottom w:w="0" w:type="dxa"/>
            <w:right w:w="108" w:type="dxa"/>
          </w:tblCellMar>
        </w:tblPrEx>
        <w:trPr>
          <w:trHeight w:val="190" w:hRule="atLeast"/>
        </w:trPr>
        <w:tc>
          <w:tcPr>
            <w:tcW w:w="856"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保靖县</w:t>
            </w:r>
          </w:p>
        </w:tc>
        <w:tc>
          <w:tcPr>
            <w:tcW w:w="709"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1746</w:t>
            </w:r>
          </w:p>
        </w:tc>
        <w:tc>
          <w:tcPr>
            <w:tcW w:w="992"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236.8</w:t>
            </w:r>
          </w:p>
        </w:tc>
        <w:tc>
          <w:tcPr>
            <w:tcW w:w="992"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4.14</w:t>
            </w:r>
          </w:p>
        </w:tc>
        <w:tc>
          <w:tcPr>
            <w:tcW w:w="992"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138</w:t>
            </w:r>
          </w:p>
        </w:tc>
        <w:tc>
          <w:tcPr>
            <w:tcW w:w="993"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2.41</w:t>
            </w:r>
          </w:p>
        </w:tc>
        <w:tc>
          <w:tcPr>
            <w:tcW w:w="992"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4.14</w:t>
            </w:r>
          </w:p>
        </w:tc>
        <w:tc>
          <w:tcPr>
            <w:tcW w:w="992"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23.68</w:t>
            </w:r>
          </w:p>
        </w:tc>
        <w:tc>
          <w:tcPr>
            <w:tcW w:w="851"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71.7</w:t>
            </w:r>
          </w:p>
        </w:tc>
      </w:tr>
      <w:tr>
        <w:tblPrEx>
          <w:tblCellMar>
            <w:top w:w="0" w:type="dxa"/>
            <w:left w:w="108" w:type="dxa"/>
            <w:bottom w:w="0" w:type="dxa"/>
            <w:right w:w="108" w:type="dxa"/>
          </w:tblCellMar>
        </w:tblPrEx>
        <w:trPr>
          <w:trHeight w:val="252" w:hRule="atLeast"/>
        </w:trPr>
        <w:tc>
          <w:tcPr>
            <w:tcW w:w="856"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古丈县</w:t>
            </w:r>
          </w:p>
        </w:tc>
        <w:tc>
          <w:tcPr>
            <w:tcW w:w="709"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1286</w:t>
            </w:r>
          </w:p>
        </w:tc>
        <w:tc>
          <w:tcPr>
            <w:tcW w:w="992"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206.5</w:t>
            </w:r>
          </w:p>
        </w:tc>
        <w:tc>
          <w:tcPr>
            <w:tcW w:w="992"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2.66</w:t>
            </w:r>
          </w:p>
        </w:tc>
        <w:tc>
          <w:tcPr>
            <w:tcW w:w="992"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119.3</w:t>
            </w:r>
          </w:p>
        </w:tc>
        <w:tc>
          <w:tcPr>
            <w:tcW w:w="993"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1.53</w:t>
            </w:r>
          </w:p>
        </w:tc>
        <w:tc>
          <w:tcPr>
            <w:tcW w:w="992"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2.66</w:t>
            </w:r>
          </w:p>
        </w:tc>
        <w:tc>
          <w:tcPr>
            <w:tcW w:w="992"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20.65</w:t>
            </w:r>
          </w:p>
        </w:tc>
        <w:tc>
          <w:tcPr>
            <w:tcW w:w="851"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73.1</w:t>
            </w:r>
          </w:p>
        </w:tc>
      </w:tr>
      <w:tr>
        <w:tblPrEx>
          <w:tblCellMar>
            <w:top w:w="0" w:type="dxa"/>
            <w:left w:w="108" w:type="dxa"/>
            <w:bottom w:w="0" w:type="dxa"/>
            <w:right w:w="108" w:type="dxa"/>
          </w:tblCellMar>
        </w:tblPrEx>
        <w:trPr>
          <w:trHeight w:val="372" w:hRule="atLeast"/>
        </w:trPr>
        <w:tc>
          <w:tcPr>
            <w:tcW w:w="856"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永顺县</w:t>
            </w:r>
          </w:p>
        </w:tc>
        <w:tc>
          <w:tcPr>
            <w:tcW w:w="709"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3810</w:t>
            </w:r>
          </w:p>
        </w:tc>
        <w:tc>
          <w:tcPr>
            <w:tcW w:w="992"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239.6</w:t>
            </w:r>
          </w:p>
        </w:tc>
        <w:tc>
          <w:tcPr>
            <w:tcW w:w="992"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9.13</w:t>
            </w:r>
          </w:p>
        </w:tc>
        <w:tc>
          <w:tcPr>
            <w:tcW w:w="992"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89.4</w:t>
            </w:r>
          </w:p>
        </w:tc>
        <w:tc>
          <w:tcPr>
            <w:tcW w:w="993"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3.41</w:t>
            </w:r>
          </w:p>
        </w:tc>
        <w:tc>
          <w:tcPr>
            <w:tcW w:w="992"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9.13</w:t>
            </w:r>
          </w:p>
        </w:tc>
        <w:tc>
          <w:tcPr>
            <w:tcW w:w="992"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23.96</w:t>
            </w:r>
          </w:p>
        </w:tc>
        <w:tc>
          <w:tcPr>
            <w:tcW w:w="851"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168</w:t>
            </w:r>
          </w:p>
        </w:tc>
      </w:tr>
      <w:tr>
        <w:tblPrEx>
          <w:tblCellMar>
            <w:top w:w="0" w:type="dxa"/>
            <w:left w:w="108" w:type="dxa"/>
            <w:bottom w:w="0" w:type="dxa"/>
            <w:right w:w="108" w:type="dxa"/>
          </w:tblCellMar>
        </w:tblPrEx>
        <w:trPr>
          <w:trHeight w:val="192" w:hRule="atLeast"/>
        </w:trPr>
        <w:tc>
          <w:tcPr>
            <w:tcW w:w="856"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龙山县</w:t>
            </w:r>
          </w:p>
        </w:tc>
        <w:tc>
          <w:tcPr>
            <w:tcW w:w="709"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3127</w:t>
            </w:r>
          </w:p>
        </w:tc>
        <w:tc>
          <w:tcPr>
            <w:tcW w:w="992"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286.6</w:t>
            </w:r>
          </w:p>
        </w:tc>
        <w:tc>
          <w:tcPr>
            <w:tcW w:w="992"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8.96</w:t>
            </w:r>
          </w:p>
        </w:tc>
        <w:tc>
          <w:tcPr>
            <w:tcW w:w="992"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148.7</w:t>
            </w:r>
          </w:p>
        </w:tc>
        <w:tc>
          <w:tcPr>
            <w:tcW w:w="993"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4.65</w:t>
            </w:r>
          </w:p>
        </w:tc>
        <w:tc>
          <w:tcPr>
            <w:tcW w:w="992"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8.96</w:t>
            </w:r>
          </w:p>
        </w:tc>
        <w:tc>
          <w:tcPr>
            <w:tcW w:w="992"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28.66</w:t>
            </w:r>
          </w:p>
        </w:tc>
        <w:tc>
          <w:tcPr>
            <w:tcW w:w="851"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92.8</w:t>
            </w:r>
          </w:p>
        </w:tc>
      </w:tr>
      <w:tr>
        <w:tblPrEx>
          <w:tblCellMar>
            <w:top w:w="0" w:type="dxa"/>
            <w:left w:w="108" w:type="dxa"/>
            <w:bottom w:w="0" w:type="dxa"/>
            <w:right w:w="108" w:type="dxa"/>
          </w:tblCellMar>
        </w:tblPrEx>
        <w:trPr>
          <w:trHeight w:val="372" w:hRule="atLeast"/>
        </w:trPr>
        <w:tc>
          <w:tcPr>
            <w:tcW w:w="856"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全州</w:t>
            </w:r>
          </w:p>
        </w:tc>
        <w:tc>
          <w:tcPr>
            <w:tcW w:w="709"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15462</w:t>
            </w:r>
          </w:p>
        </w:tc>
        <w:tc>
          <w:tcPr>
            <w:tcW w:w="992"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238.9</w:t>
            </w:r>
          </w:p>
        </w:tc>
        <w:tc>
          <w:tcPr>
            <w:tcW w:w="992"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36.94</w:t>
            </w:r>
          </w:p>
        </w:tc>
        <w:tc>
          <w:tcPr>
            <w:tcW w:w="992"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139.3</w:t>
            </w:r>
          </w:p>
        </w:tc>
        <w:tc>
          <w:tcPr>
            <w:tcW w:w="993"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21.54</w:t>
            </w:r>
          </w:p>
        </w:tc>
        <w:tc>
          <w:tcPr>
            <w:tcW w:w="992"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36.94</w:t>
            </w:r>
          </w:p>
        </w:tc>
        <w:tc>
          <w:tcPr>
            <w:tcW w:w="992"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23.89</w:t>
            </w:r>
          </w:p>
        </w:tc>
        <w:tc>
          <w:tcPr>
            <w:tcW w:w="851"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71.5</w:t>
            </w:r>
          </w:p>
        </w:tc>
      </w:tr>
    </w:tbl>
    <w:p>
      <w:pPr>
        <w:jc w:val="center"/>
        <w:rPr>
          <w:b/>
          <w:color w:val="000000" w:themeColor="text1"/>
          <w:sz w:val="28"/>
          <w:szCs w:val="28"/>
        </w:rPr>
      </w:pPr>
      <w:r>
        <w:rPr>
          <w:rFonts w:hint="eastAsia"/>
          <w:b/>
          <w:color w:val="000000" w:themeColor="text1"/>
          <w:sz w:val="28"/>
          <w:szCs w:val="28"/>
        </w:rPr>
        <w:t>△表3 2020年各行政分区地下水资源量与2019比较</w:t>
      </w:r>
    </w:p>
    <w:p>
      <w:pPr>
        <w:rPr>
          <w:b/>
          <w:color w:val="000000" w:themeColor="text1"/>
          <w:sz w:val="28"/>
          <w:szCs w:val="28"/>
        </w:rPr>
      </w:pPr>
      <w:r>
        <w:rPr>
          <w:rFonts w:hint="eastAsia"/>
          <w:b/>
          <w:sz w:val="28"/>
          <w:szCs w:val="28"/>
        </w:rPr>
        <w:t>（四）水资源总量</w:t>
      </w:r>
    </w:p>
    <w:p>
      <w:pPr>
        <w:ind w:firstLine="420" w:firstLineChars="150"/>
        <w:rPr>
          <w:color w:val="000000" w:themeColor="text1"/>
          <w:sz w:val="28"/>
          <w:szCs w:val="28"/>
        </w:rPr>
      </w:pPr>
      <w:r>
        <w:rPr>
          <w:rFonts w:hint="eastAsia"/>
          <w:color w:val="000000" w:themeColor="text1"/>
          <w:sz w:val="28"/>
          <w:szCs w:val="28"/>
        </w:rPr>
        <w:t>水资源总量指评价区内当地降水形成的地表、地下产水总量</w:t>
      </w:r>
      <w:r>
        <w:rPr>
          <w:color w:val="000000" w:themeColor="text1"/>
          <w:sz w:val="28"/>
          <w:szCs w:val="28"/>
        </w:rPr>
        <w:t>(不包括区外来水量)。20</w:t>
      </w:r>
      <w:r>
        <w:rPr>
          <w:rFonts w:hint="eastAsia"/>
          <w:color w:val="000000" w:themeColor="text1"/>
          <w:sz w:val="28"/>
          <w:szCs w:val="28"/>
        </w:rPr>
        <w:t>20</w:t>
      </w:r>
      <w:r>
        <w:rPr>
          <w:color w:val="000000" w:themeColor="text1"/>
          <w:sz w:val="28"/>
          <w:szCs w:val="28"/>
        </w:rPr>
        <w:t>年全州水资源总量</w:t>
      </w:r>
      <w:r>
        <w:rPr>
          <w:rFonts w:hint="eastAsia"/>
          <w:color w:val="000000" w:themeColor="text1"/>
          <w:sz w:val="28"/>
          <w:szCs w:val="28"/>
        </w:rPr>
        <w:t>226.81</w:t>
      </w:r>
      <w:r>
        <w:rPr>
          <w:color w:val="000000" w:themeColor="text1"/>
          <w:sz w:val="28"/>
          <w:szCs w:val="28"/>
        </w:rPr>
        <w:t>亿</w:t>
      </w:r>
      <w:r>
        <w:rPr>
          <w:rFonts w:hint="eastAsia"/>
          <w:sz w:val="28"/>
          <w:szCs w:val="28"/>
        </w:rPr>
        <w:t>m</w:t>
      </w:r>
      <w:r>
        <w:rPr>
          <w:rFonts w:hint="eastAsia"/>
          <w:sz w:val="28"/>
          <w:szCs w:val="28"/>
          <w:vertAlign w:val="superscript"/>
        </w:rPr>
        <w:t>3</w:t>
      </w:r>
      <w:r>
        <w:rPr>
          <w:color w:val="000000" w:themeColor="text1"/>
          <w:sz w:val="28"/>
          <w:szCs w:val="28"/>
        </w:rPr>
        <w:t>，较</w:t>
      </w:r>
      <w:r>
        <w:rPr>
          <w:rFonts w:hint="eastAsia"/>
          <w:color w:val="000000" w:themeColor="text1"/>
          <w:sz w:val="28"/>
          <w:szCs w:val="28"/>
        </w:rPr>
        <w:t>2019</w:t>
      </w:r>
      <w:r>
        <w:rPr>
          <w:color w:val="000000" w:themeColor="text1"/>
          <w:sz w:val="28"/>
          <w:szCs w:val="28"/>
        </w:rPr>
        <w:t>年偏多</w:t>
      </w:r>
      <w:r>
        <w:rPr>
          <w:rFonts w:hint="eastAsia"/>
          <w:color w:val="000000" w:themeColor="text1"/>
          <w:sz w:val="28"/>
          <w:szCs w:val="28"/>
        </w:rPr>
        <w:t>96.9</w:t>
      </w:r>
      <w:r>
        <w:rPr>
          <w:color w:val="000000" w:themeColor="text1"/>
          <w:sz w:val="28"/>
          <w:szCs w:val="28"/>
        </w:rPr>
        <w:t>%，较多年平均偏多</w:t>
      </w:r>
      <w:r>
        <w:rPr>
          <w:rFonts w:hint="eastAsia"/>
          <w:color w:val="000000" w:themeColor="text1"/>
          <w:sz w:val="28"/>
          <w:szCs w:val="28"/>
        </w:rPr>
        <w:t>81.4</w:t>
      </w:r>
      <w:r>
        <w:rPr>
          <w:color w:val="000000" w:themeColor="text1"/>
          <w:sz w:val="28"/>
          <w:szCs w:val="28"/>
        </w:rPr>
        <w:t>%。</w:t>
      </w:r>
      <w:r>
        <w:rPr>
          <w:rFonts w:hint="eastAsia"/>
          <w:color w:val="000000" w:themeColor="text1"/>
          <w:sz w:val="28"/>
          <w:szCs w:val="28"/>
        </w:rPr>
        <w:t>2020年各行政分区水资源总量见表4，2020年各水资源分区水资源总量见表5。</w:t>
      </w:r>
    </w:p>
    <w:tbl>
      <w:tblPr>
        <w:tblStyle w:val="11"/>
        <w:tblW w:w="8640" w:type="dxa"/>
        <w:tblInd w:w="103" w:type="dxa"/>
        <w:tblLayout w:type="autofit"/>
        <w:tblCellMar>
          <w:top w:w="0" w:type="dxa"/>
          <w:left w:w="108" w:type="dxa"/>
          <w:bottom w:w="0" w:type="dxa"/>
          <w:right w:w="108" w:type="dxa"/>
        </w:tblCellMar>
      </w:tblPr>
      <w:tblGrid>
        <w:gridCol w:w="1080"/>
        <w:gridCol w:w="1080"/>
        <w:gridCol w:w="1080"/>
        <w:gridCol w:w="1080"/>
        <w:gridCol w:w="1080"/>
        <w:gridCol w:w="1080"/>
        <w:gridCol w:w="1080"/>
        <w:gridCol w:w="1080"/>
      </w:tblGrid>
      <w:tr>
        <w:tblPrEx>
          <w:tblCellMar>
            <w:top w:w="0" w:type="dxa"/>
            <w:left w:w="108" w:type="dxa"/>
            <w:bottom w:w="0" w:type="dxa"/>
            <w:right w:w="108" w:type="dxa"/>
          </w:tblCellMar>
        </w:tblPrEx>
        <w:trPr>
          <w:trHeight w:val="540" w:hRule="atLeast"/>
        </w:trPr>
        <w:tc>
          <w:tcPr>
            <w:tcW w:w="1080"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cs="宋体"/>
                <w:b/>
                <w:bCs/>
                <w:kern w:val="0"/>
                <w:sz w:val="18"/>
                <w:szCs w:val="18"/>
              </w:rPr>
            </w:pPr>
            <w:r>
              <w:rPr>
                <w:rFonts w:hint="eastAsia" w:cs="宋体"/>
                <w:b/>
                <w:bCs/>
                <w:kern w:val="0"/>
                <w:sz w:val="18"/>
                <w:szCs w:val="18"/>
              </w:rPr>
              <w:t>行政分区</w:t>
            </w:r>
          </w:p>
        </w:tc>
        <w:tc>
          <w:tcPr>
            <w:tcW w:w="1080" w:type="dxa"/>
            <w:tcBorders>
              <w:top w:val="single" w:color="auto" w:sz="4" w:space="0"/>
              <w:left w:val="nil"/>
              <w:bottom w:val="single" w:color="auto" w:sz="4" w:space="0"/>
              <w:right w:val="single" w:color="auto" w:sz="4" w:space="0"/>
            </w:tcBorders>
            <w:shd w:val="clear" w:color="auto" w:fill="auto"/>
            <w:vAlign w:val="center"/>
          </w:tcPr>
          <w:p>
            <w:pPr>
              <w:widowControl/>
              <w:jc w:val="center"/>
              <w:rPr>
                <w:rFonts w:cs="宋体"/>
                <w:b/>
                <w:bCs/>
                <w:kern w:val="0"/>
                <w:sz w:val="18"/>
                <w:szCs w:val="18"/>
              </w:rPr>
            </w:pPr>
            <w:r>
              <w:rPr>
                <w:rFonts w:hint="eastAsia" w:cs="宋体"/>
                <w:b/>
                <w:bCs/>
                <w:kern w:val="0"/>
                <w:sz w:val="18"/>
                <w:szCs w:val="18"/>
              </w:rPr>
              <w:t>面积</w:t>
            </w:r>
          </w:p>
        </w:tc>
        <w:tc>
          <w:tcPr>
            <w:tcW w:w="1080" w:type="dxa"/>
            <w:tcBorders>
              <w:top w:val="single" w:color="auto" w:sz="4" w:space="0"/>
              <w:left w:val="nil"/>
              <w:bottom w:val="single" w:color="auto" w:sz="4" w:space="0"/>
              <w:right w:val="single" w:color="auto" w:sz="4" w:space="0"/>
            </w:tcBorders>
            <w:shd w:val="clear" w:color="auto" w:fill="auto"/>
            <w:vAlign w:val="center"/>
          </w:tcPr>
          <w:p>
            <w:pPr>
              <w:widowControl/>
              <w:jc w:val="center"/>
              <w:rPr>
                <w:rFonts w:cs="宋体"/>
                <w:b/>
                <w:bCs/>
                <w:kern w:val="0"/>
                <w:sz w:val="18"/>
                <w:szCs w:val="18"/>
              </w:rPr>
            </w:pPr>
            <w:r>
              <w:rPr>
                <w:rFonts w:hint="eastAsia" w:cs="宋体"/>
                <w:b/>
                <w:bCs/>
                <w:kern w:val="0"/>
                <w:sz w:val="18"/>
                <w:szCs w:val="18"/>
              </w:rPr>
              <w:t>年降水量</w:t>
            </w:r>
          </w:p>
        </w:tc>
        <w:tc>
          <w:tcPr>
            <w:tcW w:w="1080" w:type="dxa"/>
            <w:tcBorders>
              <w:top w:val="single" w:color="auto" w:sz="4" w:space="0"/>
              <w:left w:val="nil"/>
              <w:bottom w:val="single" w:color="auto" w:sz="4" w:space="0"/>
              <w:right w:val="single" w:color="auto" w:sz="4" w:space="0"/>
            </w:tcBorders>
            <w:shd w:val="clear" w:color="auto" w:fill="auto"/>
            <w:vAlign w:val="center"/>
          </w:tcPr>
          <w:p>
            <w:pPr>
              <w:widowControl/>
              <w:jc w:val="center"/>
              <w:rPr>
                <w:rFonts w:cs="宋体"/>
                <w:b/>
                <w:bCs/>
                <w:kern w:val="0"/>
                <w:sz w:val="18"/>
                <w:szCs w:val="18"/>
              </w:rPr>
            </w:pPr>
            <w:r>
              <w:rPr>
                <w:rFonts w:hint="eastAsia" w:cs="宋体"/>
                <w:b/>
                <w:bCs/>
                <w:kern w:val="0"/>
                <w:sz w:val="18"/>
                <w:szCs w:val="18"/>
              </w:rPr>
              <w:t>地表水资源量</w:t>
            </w:r>
          </w:p>
        </w:tc>
        <w:tc>
          <w:tcPr>
            <w:tcW w:w="1080" w:type="dxa"/>
            <w:tcBorders>
              <w:top w:val="single" w:color="auto" w:sz="4" w:space="0"/>
              <w:left w:val="nil"/>
              <w:bottom w:val="single" w:color="auto" w:sz="4" w:space="0"/>
              <w:right w:val="single" w:color="auto" w:sz="4" w:space="0"/>
            </w:tcBorders>
            <w:shd w:val="clear" w:color="auto" w:fill="auto"/>
            <w:vAlign w:val="center"/>
          </w:tcPr>
          <w:p>
            <w:pPr>
              <w:widowControl/>
              <w:jc w:val="center"/>
              <w:rPr>
                <w:rFonts w:cs="宋体"/>
                <w:b/>
                <w:bCs/>
                <w:kern w:val="0"/>
                <w:sz w:val="18"/>
                <w:szCs w:val="18"/>
              </w:rPr>
            </w:pPr>
            <w:r>
              <w:rPr>
                <w:rFonts w:hint="eastAsia" w:cs="宋体"/>
                <w:b/>
                <w:bCs/>
                <w:kern w:val="0"/>
                <w:sz w:val="18"/>
                <w:szCs w:val="18"/>
              </w:rPr>
              <w:t>地下水资源量</w:t>
            </w:r>
          </w:p>
        </w:tc>
        <w:tc>
          <w:tcPr>
            <w:tcW w:w="1080" w:type="dxa"/>
            <w:tcBorders>
              <w:top w:val="single" w:color="auto" w:sz="4" w:space="0"/>
              <w:left w:val="nil"/>
              <w:bottom w:val="single" w:color="auto" w:sz="4" w:space="0"/>
              <w:right w:val="single" w:color="auto" w:sz="4" w:space="0"/>
            </w:tcBorders>
            <w:shd w:val="clear" w:color="auto" w:fill="auto"/>
            <w:vAlign w:val="center"/>
          </w:tcPr>
          <w:p>
            <w:pPr>
              <w:widowControl/>
              <w:jc w:val="center"/>
              <w:rPr>
                <w:rFonts w:cs="宋体"/>
                <w:b/>
                <w:bCs/>
                <w:kern w:val="0"/>
                <w:sz w:val="18"/>
                <w:szCs w:val="18"/>
              </w:rPr>
            </w:pPr>
            <w:r>
              <w:rPr>
                <w:rFonts w:hint="eastAsia" w:cs="宋体"/>
                <w:b/>
                <w:bCs/>
                <w:kern w:val="0"/>
                <w:sz w:val="18"/>
                <w:szCs w:val="18"/>
              </w:rPr>
              <w:t>重复计算量</w:t>
            </w:r>
          </w:p>
        </w:tc>
        <w:tc>
          <w:tcPr>
            <w:tcW w:w="1080" w:type="dxa"/>
            <w:tcBorders>
              <w:top w:val="single" w:color="auto" w:sz="4" w:space="0"/>
              <w:left w:val="nil"/>
              <w:bottom w:val="single" w:color="auto" w:sz="4" w:space="0"/>
              <w:right w:val="single" w:color="auto" w:sz="4" w:space="0"/>
            </w:tcBorders>
            <w:shd w:val="clear" w:color="auto" w:fill="auto"/>
            <w:vAlign w:val="center"/>
          </w:tcPr>
          <w:p>
            <w:pPr>
              <w:widowControl/>
              <w:jc w:val="center"/>
              <w:rPr>
                <w:rFonts w:cs="宋体"/>
                <w:b/>
                <w:bCs/>
                <w:kern w:val="0"/>
                <w:sz w:val="18"/>
                <w:szCs w:val="18"/>
              </w:rPr>
            </w:pPr>
            <w:r>
              <w:rPr>
                <w:rFonts w:hint="eastAsia" w:cs="宋体"/>
                <w:b/>
                <w:bCs/>
                <w:kern w:val="0"/>
                <w:sz w:val="18"/>
                <w:szCs w:val="18"/>
              </w:rPr>
              <w:t>水资源总量</w:t>
            </w:r>
          </w:p>
        </w:tc>
        <w:tc>
          <w:tcPr>
            <w:tcW w:w="1080"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cs="宋体"/>
                <w:b/>
                <w:bCs/>
                <w:kern w:val="0"/>
                <w:sz w:val="18"/>
                <w:szCs w:val="18"/>
              </w:rPr>
            </w:pPr>
            <w:r>
              <w:rPr>
                <w:rFonts w:hint="eastAsia" w:cs="宋体"/>
                <w:b/>
                <w:bCs/>
                <w:kern w:val="0"/>
                <w:sz w:val="18"/>
                <w:szCs w:val="18"/>
              </w:rPr>
              <w:t>产水系数</w:t>
            </w:r>
          </w:p>
        </w:tc>
      </w:tr>
      <w:tr>
        <w:tblPrEx>
          <w:tblCellMar>
            <w:top w:w="0" w:type="dxa"/>
            <w:left w:w="108" w:type="dxa"/>
            <w:bottom w:w="0" w:type="dxa"/>
            <w:right w:w="108" w:type="dxa"/>
          </w:tblCellMar>
        </w:tblPrEx>
        <w:trPr>
          <w:trHeight w:val="270" w:hRule="atLeast"/>
        </w:trPr>
        <w:tc>
          <w:tcPr>
            <w:tcW w:w="1080" w:type="dxa"/>
            <w:vMerge w:val="continue"/>
            <w:tcBorders>
              <w:top w:val="single" w:color="auto" w:sz="4" w:space="0"/>
              <w:left w:val="single" w:color="auto" w:sz="4" w:space="0"/>
              <w:bottom w:val="single" w:color="auto" w:sz="4" w:space="0"/>
              <w:right w:val="single" w:color="auto" w:sz="4" w:space="0"/>
            </w:tcBorders>
            <w:vAlign w:val="center"/>
          </w:tcPr>
          <w:p>
            <w:pPr>
              <w:widowControl/>
              <w:jc w:val="center"/>
              <w:rPr>
                <w:rFonts w:cs="宋体"/>
                <w:b/>
                <w:bCs/>
                <w:kern w:val="0"/>
                <w:sz w:val="18"/>
                <w:szCs w:val="18"/>
              </w:rPr>
            </w:pPr>
          </w:p>
        </w:tc>
        <w:tc>
          <w:tcPr>
            <w:tcW w:w="1080" w:type="dxa"/>
            <w:tcBorders>
              <w:top w:val="nil"/>
              <w:left w:val="nil"/>
              <w:bottom w:val="single" w:color="auto" w:sz="4" w:space="0"/>
              <w:right w:val="single" w:color="auto" w:sz="4" w:space="0"/>
            </w:tcBorders>
            <w:shd w:val="clear" w:color="auto" w:fill="auto"/>
            <w:vAlign w:val="center"/>
          </w:tcPr>
          <w:p>
            <w:pPr>
              <w:widowControl/>
              <w:jc w:val="center"/>
              <w:rPr>
                <w:rFonts w:cs="宋体"/>
                <w:bCs/>
                <w:kern w:val="0"/>
                <w:sz w:val="24"/>
                <w:szCs w:val="24"/>
              </w:rPr>
            </w:pPr>
            <w:r>
              <w:rPr>
                <w:rFonts w:hint="eastAsia" w:cs="宋体"/>
                <w:bCs/>
                <w:kern w:val="0"/>
                <w:sz w:val="24"/>
                <w:szCs w:val="24"/>
              </w:rPr>
              <w:t>k㎡</w:t>
            </w:r>
          </w:p>
        </w:tc>
        <w:tc>
          <w:tcPr>
            <w:tcW w:w="1080" w:type="dxa"/>
            <w:tcBorders>
              <w:top w:val="nil"/>
              <w:left w:val="nil"/>
              <w:bottom w:val="single" w:color="auto" w:sz="4" w:space="0"/>
              <w:right w:val="single" w:color="auto" w:sz="4" w:space="0"/>
            </w:tcBorders>
            <w:shd w:val="clear" w:color="auto" w:fill="auto"/>
            <w:vAlign w:val="center"/>
          </w:tcPr>
          <w:p>
            <w:pPr>
              <w:widowControl/>
              <w:jc w:val="center"/>
              <w:rPr>
                <w:rFonts w:cs="宋体"/>
                <w:bCs/>
                <w:kern w:val="0"/>
                <w:sz w:val="24"/>
                <w:szCs w:val="24"/>
              </w:rPr>
            </w:pPr>
            <w:r>
              <w:rPr>
                <w:rFonts w:hint="eastAsia" w:cs="宋体"/>
                <w:bCs/>
                <w:kern w:val="0"/>
                <w:sz w:val="24"/>
                <w:szCs w:val="24"/>
              </w:rPr>
              <w:t>亿m³</w:t>
            </w:r>
          </w:p>
        </w:tc>
        <w:tc>
          <w:tcPr>
            <w:tcW w:w="1080" w:type="dxa"/>
            <w:tcBorders>
              <w:top w:val="nil"/>
              <w:left w:val="nil"/>
              <w:bottom w:val="single" w:color="auto" w:sz="4" w:space="0"/>
              <w:right w:val="single" w:color="auto" w:sz="4" w:space="0"/>
            </w:tcBorders>
            <w:shd w:val="clear" w:color="auto" w:fill="auto"/>
            <w:vAlign w:val="center"/>
          </w:tcPr>
          <w:p>
            <w:pPr>
              <w:widowControl/>
              <w:jc w:val="center"/>
              <w:rPr>
                <w:rFonts w:cs="宋体"/>
                <w:bCs/>
                <w:kern w:val="0"/>
                <w:sz w:val="24"/>
                <w:szCs w:val="24"/>
              </w:rPr>
            </w:pPr>
            <w:r>
              <w:rPr>
                <w:rFonts w:hint="eastAsia" w:cs="宋体"/>
                <w:bCs/>
                <w:kern w:val="0"/>
                <w:sz w:val="24"/>
                <w:szCs w:val="24"/>
              </w:rPr>
              <w:t>亿m³</w:t>
            </w:r>
          </w:p>
        </w:tc>
        <w:tc>
          <w:tcPr>
            <w:tcW w:w="1080" w:type="dxa"/>
            <w:tcBorders>
              <w:top w:val="nil"/>
              <w:left w:val="nil"/>
              <w:bottom w:val="single" w:color="auto" w:sz="4" w:space="0"/>
              <w:right w:val="single" w:color="auto" w:sz="4" w:space="0"/>
            </w:tcBorders>
            <w:shd w:val="clear" w:color="auto" w:fill="auto"/>
            <w:vAlign w:val="center"/>
          </w:tcPr>
          <w:p>
            <w:pPr>
              <w:widowControl/>
              <w:jc w:val="center"/>
              <w:rPr>
                <w:rFonts w:cs="宋体"/>
                <w:bCs/>
                <w:kern w:val="0"/>
                <w:sz w:val="24"/>
                <w:szCs w:val="24"/>
              </w:rPr>
            </w:pPr>
            <w:r>
              <w:rPr>
                <w:rFonts w:hint="eastAsia" w:cs="宋体"/>
                <w:bCs/>
                <w:kern w:val="0"/>
                <w:sz w:val="24"/>
                <w:szCs w:val="24"/>
              </w:rPr>
              <w:t>亿m³</w:t>
            </w:r>
          </w:p>
        </w:tc>
        <w:tc>
          <w:tcPr>
            <w:tcW w:w="1080" w:type="dxa"/>
            <w:tcBorders>
              <w:top w:val="nil"/>
              <w:left w:val="nil"/>
              <w:bottom w:val="single" w:color="auto" w:sz="4" w:space="0"/>
              <w:right w:val="single" w:color="auto" w:sz="4" w:space="0"/>
            </w:tcBorders>
            <w:shd w:val="clear" w:color="auto" w:fill="auto"/>
            <w:vAlign w:val="center"/>
          </w:tcPr>
          <w:p>
            <w:pPr>
              <w:widowControl/>
              <w:jc w:val="center"/>
              <w:rPr>
                <w:rFonts w:cs="宋体"/>
                <w:bCs/>
                <w:kern w:val="0"/>
                <w:sz w:val="24"/>
                <w:szCs w:val="24"/>
              </w:rPr>
            </w:pPr>
            <w:r>
              <w:rPr>
                <w:rFonts w:hint="eastAsia" w:cs="宋体"/>
                <w:bCs/>
                <w:kern w:val="0"/>
                <w:sz w:val="24"/>
                <w:szCs w:val="24"/>
              </w:rPr>
              <w:t>亿m³</w:t>
            </w:r>
          </w:p>
        </w:tc>
        <w:tc>
          <w:tcPr>
            <w:tcW w:w="1080" w:type="dxa"/>
            <w:tcBorders>
              <w:top w:val="nil"/>
              <w:left w:val="nil"/>
              <w:bottom w:val="single" w:color="auto" w:sz="4" w:space="0"/>
              <w:right w:val="single" w:color="auto" w:sz="4" w:space="0"/>
            </w:tcBorders>
            <w:shd w:val="clear" w:color="auto" w:fill="auto"/>
            <w:vAlign w:val="center"/>
          </w:tcPr>
          <w:p>
            <w:pPr>
              <w:widowControl/>
              <w:jc w:val="center"/>
              <w:rPr>
                <w:rFonts w:cs="宋体"/>
                <w:bCs/>
                <w:kern w:val="0"/>
                <w:sz w:val="24"/>
                <w:szCs w:val="24"/>
              </w:rPr>
            </w:pPr>
            <w:r>
              <w:rPr>
                <w:rFonts w:hint="eastAsia" w:cs="宋体"/>
                <w:bCs/>
                <w:kern w:val="0"/>
                <w:sz w:val="24"/>
                <w:szCs w:val="24"/>
              </w:rPr>
              <w:t>亿m³</w:t>
            </w:r>
          </w:p>
        </w:tc>
        <w:tc>
          <w:tcPr>
            <w:tcW w:w="1080" w:type="dxa"/>
            <w:vMerge w:val="continue"/>
            <w:tcBorders>
              <w:top w:val="single" w:color="auto" w:sz="4" w:space="0"/>
              <w:left w:val="single" w:color="auto" w:sz="4" w:space="0"/>
              <w:bottom w:val="single" w:color="auto" w:sz="4" w:space="0"/>
              <w:right w:val="single" w:color="auto" w:sz="4" w:space="0"/>
            </w:tcBorders>
            <w:vAlign w:val="center"/>
          </w:tcPr>
          <w:p>
            <w:pPr>
              <w:widowControl/>
              <w:jc w:val="center"/>
              <w:rPr>
                <w:rFonts w:cs="宋体"/>
                <w:b/>
                <w:bCs/>
                <w:kern w:val="0"/>
                <w:sz w:val="18"/>
                <w:szCs w:val="18"/>
              </w:rPr>
            </w:pPr>
          </w:p>
        </w:tc>
      </w:tr>
      <w:tr>
        <w:tblPrEx>
          <w:tblCellMar>
            <w:top w:w="0" w:type="dxa"/>
            <w:left w:w="108" w:type="dxa"/>
            <w:bottom w:w="0" w:type="dxa"/>
            <w:right w:w="108" w:type="dxa"/>
          </w:tblCellMar>
        </w:tblPrEx>
        <w:trPr>
          <w:trHeight w:val="270" w:hRule="atLeast"/>
        </w:trPr>
        <w:tc>
          <w:tcPr>
            <w:tcW w:w="1080"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吉首市</w:t>
            </w:r>
          </w:p>
        </w:tc>
        <w:tc>
          <w:tcPr>
            <w:tcW w:w="108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1062</w:t>
            </w:r>
          </w:p>
        </w:tc>
        <w:tc>
          <w:tcPr>
            <w:tcW w:w="108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20.89</w:t>
            </w:r>
          </w:p>
        </w:tc>
        <w:tc>
          <w:tcPr>
            <w:tcW w:w="108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14.11</w:t>
            </w:r>
          </w:p>
        </w:tc>
        <w:tc>
          <w:tcPr>
            <w:tcW w:w="108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2.16</w:t>
            </w:r>
          </w:p>
        </w:tc>
        <w:tc>
          <w:tcPr>
            <w:tcW w:w="108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2.16</w:t>
            </w:r>
          </w:p>
        </w:tc>
        <w:tc>
          <w:tcPr>
            <w:tcW w:w="108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14.11</w:t>
            </w:r>
          </w:p>
        </w:tc>
        <w:tc>
          <w:tcPr>
            <w:tcW w:w="108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0.68</w:t>
            </w:r>
          </w:p>
        </w:tc>
      </w:tr>
      <w:tr>
        <w:tblPrEx>
          <w:tblCellMar>
            <w:top w:w="0" w:type="dxa"/>
            <w:left w:w="108" w:type="dxa"/>
            <w:bottom w:w="0" w:type="dxa"/>
            <w:right w:w="108" w:type="dxa"/>
          </w:tblCellMar>
        </w:tblPrEx>
        <w:trPr>
          <w:trHeight w:val="270" w:hRule="atLeast"/>
        </w:trPr>
        <w:tc>
          <w:tcPr>
            <w:tcW w:w="1080"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泸溪县</w:t>
            </w:r>
          </w:p>
        </w:tc>
        <w:tc>
          <w:tcPr>
            <w:tcW w:w="108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1569</w:t>
            </w:r>
          </w:p>
        </w:tc>
        <w:tc>
          <w:tcPr>
            <w:tcW w:w="108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31.07</w:t>
            </w:r>
          </w:p>
        </w:tc>
        <w:tc>
          <w:tcPr>
            <w:tcW w:w="108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20.44</w:t>
            </w:r>
          </w:p>
        </w:tc>
        <w:tc>
          <w:tcPr>
            <w:tcW w:w="108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3.44</w:t>
            </w:r>
          </w:p>
        </w:tc>
        <w:tc>
          <w:tcPr>
            <w:tcW w:w="108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3.44</w:t>
            </w:r>
          </w:p>
        </w:tc>
        <w:tc>
          <w:tcPr>
            <w:tcW w:w="108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20.44</w:t>
            </w:r>
          </w:p>
        </w:tc>
        <w:tc>
          <w:tcPr>
            <w:tcW w:w="108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0.66</w:t>
            </w:r>
          </w:p>
        </w:tc>
      </w:tr>
      <w:tr>
        <w:tblPrEx>
          <w:tblCellMar>
            <w:top w:w="0" w:type="dxa"/>
            <w:left w:w="108" w:type="dxa"/>
            <w:bottom w:w="0" w:type="dxa"/>
            <w:right w:w="108" w:type="dxa"/>
          </w:tblCellMar>
        </w:tblPrEx>
        <w:trPr>
          <w:trHeight w:val="270" w:hRule="atLeast"/>
        </w:trPr>
        <w:tc>
          <w:tcPr>
            <w:tcW w:w="1080"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凤凰县</w:t>
            </w:r>
          </w:p>
        </w:tc>
        <w:tc>
          <w:tcPr>
            <w:tcW w:w="108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1751</w:t>
            </w:r>
          </w:p>
        </w:tc>
        <w:tc>
          <w:tcPr>
            <w:tcW w:w="108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30.52</w:t>
            </w:r>
          </w:p>
        </w:tc>
        <w:tc>
          <w:tcPr>
            <w:tcW w:w="108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19.87</w:t>
            </w:r>
          </w:p>
        </w:tc>
        <w:tc>
          <w:tcPr>
            <w:tcW w:w="108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3.82</w:t>
            </w:r>
          </w:p>
        </w:tc>
        <w:tc>
          <w:tcPr>
            <w:tcW w:w="108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3.82</w:t>
            </w:r>
          </w:p>
        </w:tc>
        <w:tc>
          <w:tcPr>
            <w:tcW w:w="108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19.87</w:t>
            </w:r>
          </w:p>
        </w:tc>
        <w:tc>
          <w:tcPr>
            <w:tcW w:w="108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0.65</w:t>
            </w:r>
          </w:p>
        </w:tc>
      </w:tr>
      <w:tr>
        <w:tblPrEx>
          <w:tblCellMar>
            <w:top w:w="0" w:type="dxa"/>
            <w:left w:w="108" w:type="dxa"/>
            <w:bottom w:w="0" w:type="dxa"/>
            <w:right w:w="108" w:type="dxa"/>
          </w:tblCellMar>
        </w:tblPrEx>
        <w:trPr>
          <w:trHeight w:val="270" w:hRule="atLeast"/>
        </w:trPr>
        <w:tc>
          <w:tcPr>
            <w:tcW w:w="1080"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花垣县</w:t>
            </w:r>
          </w:p>
        </w:tc>
        <w:tc>
          <w:tcPr>
            <w:tcW w:w="108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1111</w:t>
            </w:r>
          </w:p>
        </w:tc>
        <w:tc>
          <w:tcPr>
            <w:tcW w:w="108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21.37</w:t>
            </w:r>
          </w:p>
        </w:tc>
        <w:tc>
          <w:tcPr>
            <w:tcW w:w="108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16.56</w:t>
            </w:r>
          </w:p>
        </w:tc>
        <w:tc>
          <w:tcPr>
            <w:tcW w:w="108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2.63</w:t>
            </w:r>
          </w:p>
        </w:tc>
        <w:tc>
          <w:tcPr>
            <w:tcW w:w="108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2.63</w:t>
            </w:r>
          </w:p>
        </w:tc>
        <w:tc>
          <w:tcPr>
            <w:tcW w:w="108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16.56</w:t>
            </w:r>
          </w:p>
        </w:tc>
        <w:tc>
          <w:tcPr>
            <w:tcW w:w="108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0.77</w:t>
            </w:r>
          </w:p>
        </w:tc>
      </w:tr>
      <w:tr>
        <w:tblPrEx>
          <w:tblCellMar>
            <w:top w:w="0" w:type="dxa"/>
            <w:left w:w="108" w:type="dxa"/>
            <w:bottom w:w="0" w:type="dxa"/>
            <w:right w:w="108" w:type="dxa"/>
          </w:tblCellMar>
        </w:tblPrEx>
        <w:trPr>
          <w:trHeight w:val="270" w:hRule="atLeast"/>
        </w:trPr>
        <w:tc>
          <w:tcPr>
            <w:tcW w:w="1080"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保靖县</w:t>
            </w:r>
          </w:p>
        </w:tc>
        <w:tc>
          <w:tcPr>
            <w:tcW w:w="108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1746</w:t>
            </w:r>
          </w:p>
        </w:tc>
        <w:tc>
          <w:tcPr>
            <w:tcW w:w="108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34.86</w:t>
            </w:r>
          </w:p>
        </w:tc>
        <w:tc>
          <w:tcPr>
            <w:tcW w:w="108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26.48</w:t>
            </w:r>
          </w:p>
        </w:tc>
        <w:tc>
          <w:tcPr>
            <w:tcW w:w="108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4.14</w:t>
            </w:r>
          </w:p>
        </w:tc>
        <w:tc>
          <w:tcPr>
            <w:tcW w:w="108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4.14</w:t>
            </w:r>
          </w:p>
        </w:tc>
        <w:tc>
          <w:tcPr>
            <w:tcW w:w="108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26.48</w:t>
            </w:r>
          </w:p>
        </w:tc>
        <w:tc>
          <w:tcPr>
            <w:tcW w:w="108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0.76</w:t>
            </w:r>
          </w:p>
        </w:tc>
      </w:tr>
      <w:tr>
        <w:tblPrEx>
          <w:tblCellMar>
            <w:top w:w="0" w:type="dxa"/>
            <w:left w:w="108" w:type="dxa"/>
            <w:bottom w:w="0" w:type="dxa"/>
            <w:right w:w="108" w:type="dxa"/>
          </w:tblCellMar>
        </w:tblPrEx>
        <w:trPr>
          <w:trHeight w:val="270" w:hRule="atLeast"/>
        </w:trPr>
        <w:tc>
          <w:tcPr>
            <w:tcW w:w="1080"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古丈县</w:t>
            </w:r>
          </w:p>
        </w:tc>
        <w:tc>
          <w:tcPr>
            <w:tcW w:w="108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1286</w:t>
            </w:r>
          </w:p>
        </w:tc>
        <w:tc>
          <w:tcPr>
            <w:tcW w:w="108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25.03</w:t>
            </w:r>
          </w:p>
        </w:tc>
        <w:tc>
          <w:tcPr>
            <w:tcW w:w="108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18.59</w:t>
            </w:r>
          </w:p>
        </w:tc>
        <w:tc>
          <w:tcPr>
            <w:tcW w:w="108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2.66</w:t>
            </w:r>
          </w:p>
        </w:tc>
        <w:tc>
          <w:tcPr>
            <w:tcW w:w="108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2.66</w:t>
            </w:r>
          </w:p>
        </w:tc>
        <w:tc>
          <w:tcPr>
            <w:tcW w:w="108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18.59</w:t>
            </w:r>
          </w:p>
        </w:tc>
        <w:tc>
          <w:tcPr>
            <w:tcW w:w="108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0.74</w:t>
            </w:r>
          </w:p>
        </w:tc>
      </w:tr>
      <w:tr>
        <w:tblPrEx>
          <w:tblCellMar>
            <w:top w:w="0" w:type="dxa"/>
            <w:left w:w="108" w:type="dxa"/>
            <w:bottom w:w="0" w:type="dxa"/>
            <w:right w:w="108" w:type="dxa"/>
          </w:tblCellMar>
        </w:tblPrEx>
        <w:trPr>
          <w:trHeight w:val="270" w:hRule="atLeast"/>
        </w:trPr>
        <w:tc>
          <w:tcPr>
            <w:tcW w:w="1080"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永顺县</w:t>
            </w:r>
          </w:p>
        </w:tc>
        <w:tc>
          <w:tcPr>
            <w:tcW w:w="108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3810</w:t>
            </w:r>
          </w:p>
        </w:tc>
        <w:tc>
          <w:tcPr>
            <w:tcW w:w="108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81.07</w:t>
            </w:r>
          </w:p>
        </w:tc>
        <w:tc>
          <w:tcPr>
            <w:tcW w:w="108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61.38</w:t>
            </w:r>
          </w:p>
        </w:tc>
        <w:tc>
          <w:tcPr>
            <w:tcW w:w="108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9.13</w:t>
            </w:r>
          </w:p>
        </w:tc>
        <w:tc>
          <w:tcPr>
            <w:tcW w:w="108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9.13</w:t>
            </w:r>
          </w:p>
        </w:tc>
        <w:tc>
          <w:tcPr>
            <w:tcW w:w="108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61.38</w:t>
            </w:r>
          </w:p>
        </w:tc>
        <w:tc>
          <w:tcPr>
            <w:tcW w:w="108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0.76</w:t>
            </w:r>
          </w:p>
        </w:tc>
      </w:tr>
      <w:tr>
        <w:tblPrEx>
          <w:tblCellMar>
            <w:top w:w="0" w:type="dxa"/>
            <w:left w:w="108" w:type="dxa"/>
            <w:bottom w:w="0" w:type="dxa"/>
            <w:right w:w="108" w:type="dxa"/>
          </w:tblCellMar>
        </w:tblPrEx>
        <w:trPr>
          <w:trHeight w:val="270" w:hRule="atLeast"/>
        </w:trPr>
        <w:tc>
          <w:tcPr>
            <w:tcW w:w="1080"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龙山县</w:t>
            </w:r>
          </w:p>
        </w:tc>
        <w:tc>
          <w:tcPr>
            <w:tcW w:w="108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3127</w:t>
            </w:r>
          </w:p>
        </w:tc>
        <w:tc>
          <w:tcPr>
            <w:tcW w:w="108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65.34</w:t>
            </w:r>
          </w:p>
        </w:tc>
        <w:tc>
          <w:tcPr>
            <w:tcW w:w="108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49.38</w:t>
            </w:r>
          </w:p>
        </w:tc>
        <w:tc>
          <w:tcPr>
            <w:tcW w:w="108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8.96</w:t>
            </w:r>
          </w:p>
        </w:tc>
        <w:tc>
          <w:tcPr>
            <w:tcW w:w="108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8.96</w:t>
            </w:r>
          </w:p>
        </w:tc>
        <w:tc>
          <w:tcPr>
            <w:tcW w:w="108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49.38</w:t>
            </w:r>
          </w:p>
        </w:tc>
        <w:tc>
          <w:tcPr>
            <w:tcW w:w="108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0.76</w:t>
            </w:r>
          </w:p>
        </w:tc>
      </w:tr>
      <w:tr>
        <w:tblPrEx>
          <w:tblCellMar>
            <w:top w:w="0" w:type="dxa"/>
            <w:left w:w="108" w:type="dxa"/>
            <w:bottom w:w="0" w:type="dxa"/>
            <w:right w:w="108" w:type="dxa"/>
          </w:tblCellMar>
        </w:tblPrEx>
        <w:trPr>
          <w:trHeight w:val="270" w:hRule="atLeast"/>
        </w:trPr>
        <w:tc>
          <w:tcPr>
            <w:tcW w:w="1080"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全州</w:t>
            </w:r>
          </w:p>
        </w:tc>
        <w:tc>
          <w:tcPr>
            <w:tcW w:w="108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15462</w:t>
            </w:r>
          </w:p>
        </w:tc>
        <w:tc>
          <w:tcPr>
            <w:tcW w:w="108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310.15</w:t>
            </w:r>
          </w:p>
        </w:tc>
        <w:tc>
          <w:tcPr>
            <w:tcW w:w="108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226.81</w:t>
            </w:r>
          </w:p>
        </w:tc>
        <w:tc>
          <w:tcPr>
            <w:tcW w:w="108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36.94</w:t>
            </w:r>
          </w:p>
        </w:tc>
        <w:tc>
          <w:tcPr>
            <w:tcW w:w="108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36.94</w:t>
            </w:r>
          </w:p>
        </w:tc>
        <w:tc>
          <w:tcPr>
            <w:tcW w:w="108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226.81</w:t>
            </w:r>
          </w:p>
        </w:tc>
        <w:tc>
          <w:tcPr>
            <w:tcW w:w="108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0.73</w:t>
            </w:r>
          </w:p>
        </w:tc>
      </w:tr>
    </w:tbl>
    <w:p>
      <w:pPr>
        <w:ind w:firstLine="421" w:firstLineChars="150"/>
        <w:jc w:val="center"/>
        <w:rPr>
          <w:b/>
          <w:color w:val="000000" w:themeColor="text1"/>
          <w:sz w:val="28"/>
          <w:szCs w:val="28"/>
        </w:rPr>
      </w:pPr>
      <w:r>
        <w:rPr>
          <w:rFonts w:hint="eastAsia"/>
          <w:b/>
          <w:color w:val="000000" w:themeColor="text1"/>
          <w:sz w:val="28"/>
          <w:szCs w:val="28"/>
        </w:rPr>
        <w:t>△表4 2020年各行政分区水资源总量</w:t>
      </w:r>
    </w:p>
    <w:tbl>
      <w:tblPr>
        <w:tblStyle w:val="11"/>
        <w:tblW w:w="8794" w:type="dxa"/>
        <w:tblInd w:w="103" w:type="dxa"/>
        <w:tblLayout w:type="fixed"/>
        <w:tblCellMar>
          <w:top w:w="0" w:type="dxa"/>
          <w:left w:w="108" w:type="dxa"/>
          <w:bottom w:w="0" w:type="dxa"/>
          <w:right w:w="108" w:type="dxa"/>
        </w:tblCellMar>
      </w:tblPr>
      <w:tblGrid>
        <w:gridCol w:w="714"/>
        <w:gridCol w:w="992"/>
        <w:gridCol w:w="851"/>
        <w:gridCol w:w="992"/>
        <w:gridCol w:w="851"/>
        <w:gridCol w:w="850"/>
        <w:gridCol w:w="851"/>
        <w:gridCol w:w="850"/>
        <w:gridCol w:w="709"/>
        <w:gridCol w:w="1134"/>
      </w:tblGrid>
      <w:tr>
        <w:tblPrEx>
          <w:tblCellMar>
            <w:top w:w="0" w:type="dxa"/>
            <w:left w:w="108" w:type="dxa"/>
            <w:bottom w:w="0" w:type="dxa"/>
            <w:right w:w="108" w:type="dxa"/>
          </w:tblCellMar>
        </w:tblPrEx>
        <w:trPr>
          <w:trHeight w:val="540" w:hRule="atLeast"/>
        </w:trPr>
        <w:tc>
          <w:tcPr>
            <w:tcW w:w="714"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cs="宋体"/>
                <w:b/>
                <w:kern w:val="0"/>
                <w:sz w:val="18"/>
                <w:szCs w:val="18"/>
              </w:rPr>
            </w:pPr>
            <w:r>
              <w:rPr>
                <w:rFonts w:hint="eastAsia" w:cs="宋体"/>
                <w:b/>
                <w:kern w:val="0"/>
                <w:sz w:val="18"/>
                <w:szCs w:val="18"/>
              </w:rPr>
              <w:t>流域二级分区名称</w:t>
            </w:r>
          </w:p>
        </w:tc>
        <w:tc>
          <w:tcPr>
            <w:tcW w:w="992"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cs="宋体"/>
                <w:b/>
                <w:kern w:val="0"/>
                <w:sz w:val="18"/>
                <w:szCs w:val="18"/>
              </w:rPr>
            </w:pPr>
            <w:r>
              <w:rPr>
                <w:rFonts w:hint="eastAsia" w:cs="宋体"/>
                <w:b/>
                <w:kern w:val="0"/>
                <w:sz w:val="18"/>
                <w:szCs w:val="18"/>
              </w:rPr>
              <w:t>流域三级分区名称</w:t>
            </w:r>
          </w:p>
        </w:tc>
        <w:tc>
          <w:tcPr>
            <w:tcW w:w="851" w:type="dxa"/>
            <w:tcBorders>
              <w:top w:val="single" w:color="auto" w:sz="4" w:space="0"/>
              <w:left w:val="nil"/>
              <w:bottom w:val="single" w:color="auto" w:sz="4" w:space="0"/>
              <w:right w:val="single" w:color="auto" w:sz="4" w:space="0"/>
            </w:tcBorders>
            <w:shd w:val="clear" w:color="auto" w:fill="auto"/>
            <w:vAlign w:val="center"/>
          </w:tcPr>
          <w:p>
            <w:pPr>
              <w:widowControl/>
              <w:jc w:val="center"/>
              <w:rPr>
                <w:rFonts w:cs="宋体"/>
                <w:b/>
                <w:bCs/>
                <w:kern w:val="0"/>
                <w:sz w:val="18"/>
                <w:szCs w:val="18"/>
              </w:rPr>
            </w:pPr>
            <w:r>
              <w:rPr>
                <w:rFonts w:hint="eastAsia" w:cs="宋体"/>
                <w:b/>
                <w:bCs/>
                <w:kern w:val="0"/>
                <w:sz w:val="18"/>
                <w:szCs w:val="18"/>
              </w:rPr>
              <w:t>面积</w:t>
            </w:r>
          </w:p>
        </w:tc>
        <w:tc>
          <w:tcPr>
            <w:tcW w:w="992" w:type="dxa"/>
            <w:tcBorders>
              <w:top w:val="single" w:color="auto" w:sz="4" w:space="0"/>
              <w:left w:val="nil"/>
              <w:bottom w:val="single" w:color="auto" w:sz="4" w:space="0"/>
              <w:right w:val="single" w:color="auto" w:sz="4" w:space="0"/>
            </w:tcBorders>
            <w:shd w:val="clear" w:color="auto" w:fill="auto"/>
            <w:vAlign w:val="center"/>
          </w:tcPr>
          <w:p>
            <w:pPr>
              <w:widowControl/>
              <w:jc w:val="center"/>
              <w:rPr>
                <w:rFonts w:cs="宋体"/>
                <w:b/>
                <w:bCs/>
                <w:kern w:val="0"/>
                <w:sz w:val="18"/>
                <w:szCs w:val="18"/>
              </w:rPr>
            </w:pPr>
            <w:r>
              <w:rPr>
                <w:rFonts w:hint="eastAsia" w:cs="宋体"/>
                <w:b/>
                <w:bCs/>
                <w:kern w:val="0"/>
                <w:sz w:val="18"/>
                <w:szCs w:val="18"/>
              </w:rPr>
              <w:t>年降水量</w:t>
            </w:r>
          </w:p>
        </w:tc>
        <w:tc>
          <w:tcPr>
            <w:tcW w:w="851" w:type="dxa"/>
            <w:tcBorders>
              <w:top w:val="single" w:color="auto" w:sz="4" w:space="0"/>
              <w:left w:val="nil"/>
              <w:bottom w:val="single" w:color="auto" w:sz="4" w:space="0"/>
              <w:right w:val="single" w:color="auto" w:sz="4" w:space="0"/>
            </w:tcBorders>
            <w:shd w:val="clear" w:color="auto" w:fill="auto"/>
            <w:vAlign w:val="center"/>
          </w:tcPr>
          <w:p>
            <w:pPr>
              <w:widowControl/>
              <w:jc w:val="center"/>
              <w:rPr>
                <w:rFonts w:cs="宋体"/>
                <w:b/>
                <w:bCs/>
                <w:kern w:val="0"/>
                <w:sz w:val="18"/>
                <w:szCs w:val="18"/>
              </w:rPr>
            </w:pPr>
            <w:r>
              <w:rPr>
                <w:rFonts w:hint="eastAsia" w:cs="宋体"/>
                <w:b/>
                <w:bCs/>
                <w:kern w:val="0"/>
                <w:sz w:val="18"/>
                <w:szCs w:val="18"/>
              </w:rPr>
              <w:t>地表水资源量</w:t>
            </w:r>
          </w:p>
        </w:tc>
        <w:tc>
          <w:tcPr>
            <w:tcW w:w="850" w:type="dxa"/>
            <w:tcBorders>
              <w:top w:val="single" w:color="auto" w:sz="4" w:space="0"/>
              <w:left w:val="nil"/>
              <w:bottom w:val="single" w:color="auto" w:sz="4" w:space="0"/>
              <w:right w:val="single" w:color="auto" w:sz="4" w:space="0"/>
            </w:tcBorders>
            <w:shd w:val="clear" w:color="auto" w:fill="auto"/>
            <w:vAlign w:val="center"/>
          </w:tcPr>
          <w:p>
            <w:pPr>
              <w:widowControl/>
              <w:jc w:val="center"/>
              <w:rPr>
                <w:rFonts w:cs="宋体"/>
                <w:b/>
                <w:bCs/>
                <w:kern w:val="0"/>
                <w:sz w:val="18"/>
                <w:szCs w:val="18"/>
              </w:rPr>
            </w:pPr>
            <w:r>
              <w:rPr>
                <w:rFonts w:hint="eastAsia" w:cs="宋体"/>
                <w:b/>
                <w:bCs/>
                <w:kern w:val="0"/>
                <w:sz w:val="18"/>
                <w:szCs w:val="18"/>
              </w:rPr>
              <w:t>地下水资源量</w:t>
            </w:r>
          </w:p>
        </w:tc>
        <w:tc>
          <w:tcPr>
            <w:tcW w:w="851" w:type="dxa"/>
            <w:tcBorders>
              <w:top w:val="single" w:color="auto" w:sz="4" w:space="0"/>
              <w:left w:val="nil"/>
              <w:bottom w:val="single" w:color="auto" w:sz="4" w:space="0"/>
              <w:right w:val="single" w:color="auto" w:sz="4" w:space="0"/>
            </w:tcBorders>
            <w:shd w:val="clear" w:color="auto" w:fill="auto"/>
            <w:vAlign w:val="center"/>
          </w:tcPr>
          <w:p>
            <w:pPr>
              <w:widowControl/>
              <w:jc w:val="center"/>
              <w:rPr>
                <w:rFonts w:cs="宋体"/>
                <w:b/>
                <w:bCs/>
                <w:kern w:val="0"/>
                <w:sz w:val="18"/>
                <w:szCs w:val="18"/>
              </w:rPr>
            </w:pPr>
            <w:r>
              <w:rPr>
                <w:rFonts w:hint="eastAsia" w:cs="宋体"/>
                <w:b/>
                <w:bCs/>
                <w:kern w:val="0"/>
                <w:sz w:val="18"/>
                <w:szCs w:val="18"/>
              </w:rPr>
              <w:t>重复计算量</w:t>
            </w:r>
          </w:p>
        </w:tc>
        <w:tc>
          <w:tcPr>
            <w:tcW w:w="850" w:type="dxa"/>
            <w:tcBorders>
              <w:top w:val="single" w:color="auto" w:sz="4" w:space="0"/>
              <w:left w:val="nil"/>
              <w:bottom w:val="single" w:color="auto" w:sz="4" w:space="0"/>
              <w:right w:val="single" w:color="auto" w:sz="4" w:space="0"/>
            </w:tcBorders>
            <w:shd w:val="clear" w:color="auto" w:fill="auto"/>
            <w:vAlign w:val="center"/>
          </w:tcPr>
          <w:p>
            <w:pPr>
              <w:widowControl/>
              <w:jc w:val="center"/>
              <w:rPr>
                <w:rFonts w:cs="宋体"/>
                <w:b/>
                <w:bCs/>
                <w:kern w:val="0"/>
                <w:sz w:val="18"/>
                <w:szCs w:val="18"/>
              </w:rPr>
            </w:pPr>
            <w:r>
              <w:rPr>
                <w:rFonts w:hint="eastAsia" w:cs="宋体"/>
                <w:b/>
                <w:bCs/>
                <w:kern w:val="0"/>
                <w:sz w:val="18"/>
                <w:szCs w:val="18"/>
              </w:rPr>
              <w:t>水资源总量</w:t>
            </w:r>
          </w:p>
        </w:tc>
        <w:tc>
          <w:tcPr>
            <w:tcW w:w="709"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cs="宋体"/>
                <w:b/>
                <w:bCs/>
                <w:kern w:val="0"/>
                <w:sz w:val="18"/>
                <w:szCs w:val="18"/>
              </w:rPr>
            </w:pPr>
            <w:r>
              <w:rPr>
                <w:rFonts w:hint="eastAsia" w:cs="宋体"/>
                <w:b/>
                <w:bCs/>
                <w:kern w:val="0"/>
                <w:sz w:val="18"/>
                <w:szCs w:val="18"/>
              </w:rPr>
              <w:t>产水系数</w:t>
            </w:r>
          </w:p>
        </w:tc>
        <w:tc>
          <w:tcPr>
            <w:tcW w:w="1134" w:type="dxa"/>
            <w:tcBorders>
              <w:top w:val="single" w:color="auto" w:sz="4" w:space="0"/>
              <w:left w:val="nil"/>
              <w:bottom w:val="single" w:color="auto" w:sz="4" w:space="0"/>
              <w:right w:val="single" w:color="auto" w:sz="4" w:space="0"/>
            </w:tcBorders>
            <w:shd w:val="clear" w:color="auto" w:fill="auto"/>
            <w:vAlign w:val="center"/>
          </w:tcPr>
          <w:p>
            <w:pPr>
              <w:widowControl/>
              <w:jc w:val="center"/>
              <w:rPr>
                <w:rFonts w:cs="宋体"/>
                <w:b/>
                <w:bCs/>
                <w:kern w:val="0"/>
                <w:sz w:val="18"/>
                <w:szCs w:val="18"/>
              </w:rPr>
            </w:pPr>
            <w:r>
              <w:rPr>
                <w:rFonts w:hint="eastAsia" w:cs="宋体"/>
                <w:b/>
                <w:bCs/>
                <w:kern w:val="0"/>
                <w:sz w:val="18"/>
                <w:szCs w:val="18"/>
              </w:rPr>
              <w:t>地下水模数</w:t>
            </w:r>
          </w:p>
        </w:tc>
      </w:tr>
      <w:tr>
        <w:tblPrEx>
          <w:tblCellMar>
            <w:top w:w="0" w:type="dxa"/>
            <w:left w:w="108" w:type="dxa"/>
            <w:bottom w:w="0" w:type="dxa"/>
            <w:right w:w="108" w:type="dxa"/>
          </w:tblCellMar>
        </w:tblPrEx>
        <w:trPr>
          <w:trHeight w:val="540" w:hRule="atLeast"/>
        </w:trPr>
        <w:tc>
          <w:tcPr>
            <w:tcW w:w="714"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cs="宋体"/>
                <w:kern w:val="0"/>
                <w:sz w:val="18"/>
                <w:szCs w:val="18"/>
              </w:rPr>
            </w:pPr>
          </w:p>
        </w:tc>
        <w:tc>
          <w:tcPr>
            <w:tcW w:w="992"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cs="宋体"/>
                <w:kern w:val="0"/>
                <w:sz w:val="18"/>
                <w:szCs w:val="18"/>
              </w:rPr>
            </w:pPr>
          </w:p>
        </w:tc>
        <w:tc>
          <w:tcPr>
            <w:tcW w:w="851" w:type="dxa"/>
            <w:tcBorders>
              <w:top w:val="nil"/>
              <w:left w:val="nil"/>
              <w:bottom w:val="single" w:color="auto" w:sz="4" w:space="0"/>
              <w:right w:val="single" w:color="auto" w:sz="4" w:space="0"/>
            </w:tcBorders>
            <w:shd w:val="clear" w:color="auto" w:fill="auto"/>
            <w:vAlign w:val="center"/>
          </w:tcPr>
          <w:p>
            <w:pPr>
              <w:widowControl/>
              <w:jc w:val="center"/>
              <w:rPr>
                <w:rFonts w:cs="宋体"/>
                <w:bCs/>
                <w:kern w:val="0"/>
                <w:sz w:val="24"/>
                <w:szCs w:val="24"/>
              </w:rPr>
            </w:pPr>
            <w:r>
              <w:rPr>
                <w:rFonts w:hint="eastAsia" w:cs="宋体"/>
                <w:bCs/>
                <w:kern w:val="0"/>
                <w:sz w:val="24"/>
                <w:szCs w:val="24"/>
              </w:rPr>
              <w:t>k㎡</w:t>
            </w:r>
          </w:p>
        </w:tc>
        <w:tc>
          <w:tcPr>
            <w:tcW w:w="992" w:type="dxa"/>
            <w:tcBorders>
              <w:top w:val="nil"/>
              <w:left w:val="nil"/>
              <w:bottom w:val="single" w:color="auto" w:sz="4" w:space="0"/>
              <w:right w:val="single" w:color="auto" w:sz="4" w:space="0"/>
            </w:tcBorders>
            <w:shd w:val="clear" w:color="auto" w:fill="auto"/>
            <w:vAlign w:val="center"/>
          </w:tcPr>
          <w:p>
            <w:pPr>
              <w:widowControl/>
              <w:jc w:val="center"/>
              <w:rPr>
                <w:rFonts w:cs="宋体"/>
                <w:bCs/>
                <w:kern w:val="0"/>
                <w:sz w:val="24"/>
                <w:szCs w:val="24"/>
              </w:rPr>
            </w:pPr>
            <w:r>
              <w:rPr>
                <w:rFonts w:hint="eastAsia" w:cs="宋体"/>
                <w:bCs/>
                <w:kern w:val="0"/>
                <w:sz w:val="24"/>
                <w:szCs w:val="24"/>
              </w:rPr>
              <w:t>亿m³</w:t>
            </w:r>
          </w:p>
        </w:tc>
        <w:tc>
          <w:tcPr>
            <w:tcW w:w="851" w:type="dxa"/>
            <w:tcBorders>
              <w:top w:val="nil"/>
              <w:left w:val="nil"/>
              <w:bottom w:val="single" w:color="auto" w:sz="4" w:space="0"/>
              <w:right w:val="single" w:color="auto" w:sz="4" w:space="0"/>
            </w:tcBorders>
            <w:shd w:val="clear" w:color="auto" w:fill="auto"/>
            <w:vAlign w:val="center"/>
          </w:tcPr>
          <w:p>
            <w:pPr>
              <w:widowControl/>
              <w:jc w:val="center"/>
              <w:rPr>
                <w:rFonts w:cs="宋体"/>
                <w:bCs/>
                <w:kern w:val="0"/>
                <w:sz w:val="24"/>
                <w:szCs w:val="24"/>
              </w:rPr>
            </w:pPr>
            <w:r>
              <w:rPr>
                <w:rFonts w:hint="eastAsia" w:cs="宋体"/>
                <w:bCs/>
                <w:kern w:val="0"/>
                <w:sz w:val="24"/>
                <w:szCs w:val="24"/>
              </w:rPr>
              <w:t>亿m³</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rFonts w:cs="宋体"/>
                <w:bCs/>
                <w:kern w:val="0"/>
                <w:sz w:val="24"/>
                <w:szCs w:val="24"/>
              </w:rPr>
            </w:pPr>
            <w:r>
              <w:rPr>
                <w:rFonts w:hint="eastAsia" w:cs="宋体"/>
                <w:bCs/>
                <w:kern w:val="0"/>
                <w:sz w:val="24"/>
                <w:szCs w:val="24"/>
              </w:rPr>
              <w:t>亿m³</w:t>
            </w:r>
          </w:p>
        </w:tc>
        <w:tc>
          <w:tcPr>
            <w:tcW w:w="851" w:type="dxa"/>
            <w:tcBorders>
              <w:top w:val="nil"/>
              <w:left w:val="nil"/>
              <w:bottom w:val="single" w:color="auto" w:sz="4" w:space="0"/>
              <w:right w:val="single" w:color="auto" w:sz="4" w:space="0"/>
            </w:tcBorders>
            <w:shd w:val="clear" w:color="auto" w:fill="auto"/>
            <w:vAlign w:val="center"/>
          </w:tcPr>
          <w:p>
            <w:pPr>
              <w:widowControl/>
              <w:jc w:val="center"/>
              <w:rPr>
                <w:rFonts w:cs="宋体"/>
                <w:bCs/>
                <w:kern w:val="0"/>
                <w:sz w:val="24"/>
                <w:szCs w:val="24"/>
              </w:rPr>
            </w:pPr>
            <w:r>
              <w:rPr>
                <w:rFonts w:hint="eastAsia" w:cs="宋体"/>
                <w:bCs/>
                <w:kern w:val="0"/>
                <w:sz w:val="24"/>
                <w:szCs w:val="24"/>
              </w:rPr>
              <w:t>亿m³</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rFonts w:cs="宋体"/>
                <w:bCs/>
                <w:kern w:val="0"/>
                <w:sz w:val="24"/>
                <w:szCs w:val="24"/>
              </w:rPr>
            </w:pPr>
            <w:r>
              <w:rPr>
                <w:rFonts w:hint="eastAsia" w:cs="宋体"/>
                <w:bCs/>
                <w:kern w:val="0"/>
                <w:sz w:val="24"/>
                <w:szCs w:val="24"/>
              </w:rPr>
              <w:t>亿m³</w:t>
            </w:r>
          </w:p>
        </w:tc>
        <w:tc>
          <w:tcPr>
            <w:tcW w:w="709"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cs="宋体"/>
                <w:b/>
                <w:bCs/>
                <w:kern w:val="0"/>
                <w:sz w:val="18"/>
                <w:szCs w:val="18"/>
              </w:rPr>
            </w:pPr>
          </w:p>
        </w:tc>
        <w:tc>
          <w:tcPr>
            <w:tcW w:w="1134" w:type="dxa"/>
            <w:tcBorders>
              <w:top w:val="nil"/>
              <w:left w:val="nil"/>
              <w:bottom w:val="single" w:color="auto" w:sz="4" w:space="0"/>
              <w:right w:val="single" w:color="auto" w:sz="4" w:space="0"/>
            </w:tcBorders>
            <w:shd w:val="clear" w:color="auto" w:fill="auto"/>
            <w:vAlign w:val="center"/>
          </w:tcPr>
          <w:p>
            <w:pPr>
              <w:widowControl/>
              <w:jc w:val="center"/>
              <w:rPr>
                <w:rFonts w:cs="宋体"/>
                <w:bCs/>
                <w:kern w:val="0"/>
                <w:sz w:val="24"/>
                <w:szCs w:val="24"/>
              </w:rPr>
            </w:pPr>
            <w:r>
              <w:rPr>
                <w:rFonts w:hint="eastAsia" w:cs="宋体"/>
                <w:bCs/>
                <w:kern w:val="0"/>
                <w:sz w:val="24"/>
                <w:szCs w:val="24"/>
              </w:rPr>
              <w:t>万m³/k㎡年</w:t>
            </w:r>
          </w:p>
        </w:tc>
      </w:tr>
      <w:tr>
        <w:tblPrEx>
          <w:tblCellMar>
            <w:top w:w="0" w:type="dxa"/>
            <w:left w:w="108" w:type="dxa"/>
            <w:bottom w:w="0" w:type="dxa"/>
            <w:right w:w="108" w:type="dxa"/>
          </w:tblCellMar>
        </w:tblPrEx>
        <w:trPr>
          <w:trHeight w:val="624" w:hRule="atLeast"/>
        </w:trPr>
        <w:tc>
          <w:tcPr>
            <w:tcW w:w="714" w:type="dxa"/>
            <w:vMerge w:val="restart"/>
            <w:tcBorders>
              <w:top w:val="nil"/>
              <w:left w:val="single" w:color="auto" w:sz="4" w:space="0"/>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洞庭湖</w:t>
            </w:r>
          </w:p>
        </w:tc>
        <w:tc>
          <w:tcPr>
            <w:tcW w:w="992"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沅江浦市镇以上</w:t>
            </w:r>
          </w:p>
        </w:tc>
        <w:tc>
          <w:tcPr>
            <w:tcW w:w="851"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938</w:t>
            </w:r>
          </w:p>
        </w:tc>
        <w:tc>
          <w:tcPr>
            <w:tcW w:w="992"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17.2</w:t>
            </w:r>
          </w:p>
        </w:tc>
        <w:tc>
          <w:tcPr>
            <w:tcW w:w="851" w:type="dxa"/>
            <w:tcBorders>
              <w:top w:val="nil"/>
              <w:left w:val="nil"/>
              <w:bottom w:val="single" w:color="auto" w:sz="4" w:space="0"/>
              <w:right w:val="single" w:color="auto" w:sz="4" w:space="0"/>
            </w:tcBorders>
            <w:shd w:val="clear" w:color="auto" w:fill="auto"/>
            <w:noWrap/>
            <w:vAlign w:val="center"/>
          </w:tcPr>
          <w:p>
            <w:pPr>
              <w:widowControl/>
              <w:jc w:val="right"/>
              <w:rPr>
                <w:rFonts w:cs="宋体"/>
                <w:kern w:val="0"/>
                <w:sz w:val="24"/>
                <w:szCs w:val="24"/>
              </w:rPr>
            </w:pPr>
            <w:r>
              <w:rPr>
                <w:rFonts w:hint="eastAsia" w:cs="宋体"/>
                <w:kern w:val="0"/>
                <w:sz w:val="24"/>
                <w:szCs w:val="24"/>
              </w:rPr>
              <w:t>11.33</w:t>
            </w:r>
          </w:p>
        </w:tc>
        <w:tc>
          <w:tcPr>
            <w:tcW w:w="850" w:type="dxa"/>
            <w:tcBorders>
              <w:top w:val="nil"/>
              <w:left w:val="nil"/>
              <w:bottom w:val="single" w:color="auto" w:sz="4" w:space="0"/>
              <w:right w:val="single" w:color="auto" w:sz="4" w:space="0"/>
            </w:tcBorders>
            <w:shd w:val="clear" w:color="auto" w:fill="auto"/>
            <w:vAlign w:val="center"/>
          </w:tcPr>
          <w:p>
            <w:pPr>
              <w:widowControl/>
              <w:jc w:val="right"/>
              <w:rPr>
                <w:rFonts w:cs="宋体"/>
                <w:kern w:val="0"/>
                <w:sz w:val="24"/>
                <w:szCs w:val="24"/>
              </w:rPr>
            </w:pPr>
            <w:r>
              <w:rPr>
                <w:rFonts w:hint="eastAsia" w:cs="宋体"/>
                <w:kern w:val="0"/>
                <w:sz w:val="24"/>
                <w:szCs w:val="24"/>
              </w:rPr>
              <w:t>2.24</w:t>
            </w:r>
          </w:p>
        </w:tc>
        <w:tc>
          <w:tcPr>
            <w:tcW w:w="851" w:type="dxa"/>
            <w:tcBorders>
              <w:top w:val="nil"/>
              <w:left w:val="nil"/>
              <w:bottom w:val="single" w:color="auto" w:sz="4" w:space="0"/>
              <w:right w:val="single" w:color="auto" w:sz="4" w:space="0"/>
            </w:tcBorders>
            <w:shd w:val="clear" w:color="auto" w:fill="auto"/>
            <w:vAlign w:val="center"/>
          </w:tcPr>
          <w:p>
            <w:pPr>
              <w:widowControl/>
              <w:jc w:val="right"/>
              <w:rPr>
                <w:rFonts w:cs="宋体"/>
                <w:kern w:val="0"/>
                <w:sz w:val="24"/>
                <w:szCs w:val="24"/>
              </w:rPr>
            </w:pPr>
            <w:r>
              <w:rPr>
                <w:rFonts w:hint="eastAsia" w:cs="宋体"/>
                <w:kern w:val="0"/>
                <w:sz w:val="24"/>
                <w:szCs w:val="24"/>
              </w:rPr>
              <w:t>2.24</w:t>
            </w:r>
          </w:p>
        </w:tc>
        <w:tc>
          <w:tcPr>
            <w:tcW w:w="850" w:type="dxa"/>
            <w:tcBorders>
              <w:top w:val="nil"/>
              <w:left w:val="nil"/>
              <w:bottom w:val="single" w:color="auto" w:sz="4" w:space="0"/>
              <w:right w:val="single" w:color="auto" w:sz="4" w:space="0"/>
            </w:tcBorders>
            <w:shd w:val="clear" w:color="auto" w:fill="auto"/>
            <w:noWrap/>
            <w:vAlign w:val="center"/>
          </w:tcPr>
          <w:p>
            <w:pPr>
              <w:widowControl/>
              <w:jc w:val="right"/>
              <w:rPr>
                <w:rFonts w:cs="宋体"/>
                <w:kern w:val="0"/>
                <w:sz w:val="24"/>
                <w:szCs w:val="24"/>
              </w:rPr>
            </w:pPr>
            <w:r>
              <w:rPr>
                <w:rFonts w:hint="eastAsia" w:cs="宋体"/>
                <w:kern w:val="0"/>
                <w:sz w:val="24"/>
                <w:szCs w:val="24"/>
              </w:rPr>
              <w:t>11.33</w:t>
            </w:r>
          </w:p>
        </w:tc>
        <w:tc>
          <w:tcPr>
            <w:tcW w:w="709" w:type="dxa"/>
            <w:tcBorders>
              <w:top w:val="nil"/>
              <w:left w:val="nil"/>
              <w:bottom w:val="single" w:color="auto" w:sz="4" w:space="0"/>
              <w:right w:val="single" w:color="auto" w:sz="4" w:space="0"/>
            </w:tcBorders>
            <w:shd w:val="clear" w:color="auto" w:fill="auto"/>
            <w:vAlign w:val="center"/>
          </w:tcPr>
          <w:p>
            <w:pPr>
              <w:widowControl/>
              <w:jc w:val="right"/>
              <w:rPr>
                <w:rFonts w:cs="宋体"/>
                <w:kern w:val="0"/>
                <w:sz w:val="24"/>
                <w:szCs w:val="24"/>
              </w:rPr>
            </w:pPr>
            <w:r>
              <w:rPr>
                <w:rFonts w:hint="eastAsia" w:cs="宋体"/>
                <w:kern w:val="0"/>
                <w:sz w:val="24"/>
                <w:szCs w:val="24"/>
              </w:rPr>
              <w:t>0.66</w:t>
            </w:r>
          </w:p>
        </w:tc>
        <w:tc>
          <w:tcPr>
            <w:tcW w:w="1134" w:type="dxa"/>
            <w:tcBorders>
              <w:top w:val="nil"/>
              <w:left w:val="nil"/>
              <w:bottom w:val="single" w:color="auto" w:sz="4" w:space="0"/>
              <w:right w:val="single" w:color="auto" w:sz="4" w:space="0"/>
            </w:tcBorders>
            <w:shd w:val="clear" w:color="auto" w:fill="auto"/>
            <w:noWrap/>
            <w:vAlign w:val="center"/>
          </w:tcPr>
          <w:p>
            <w:pPr>
              <w:widowControl/>
              <w:jc w:val="right"/>
              <w:rPr>
                <w:rFonts w:cs="宋体"/>
                <w:kern w:val="0"/>
                <w:sz w:val="24"/>
                <w:szCs w:val="24"/>
              </w:rPr>
            </w:pPr>
            <w:r>
              <w:rPr>
                <w:rFonts w:hint="eastAsia" w:cs="宋体"/>
                <w:kern w:val="0"/>
                <w:sz w:val="24"/>
                <w:szCs w:val="24"/>
              </w:rPr>
              <w:t xml:space="preserve">23.88 </w:t>
            </w:r>
          </w:p>
        </w:tc>
      </w:tr>
      <w:tr>
        <w:tblPrEx>
          <w:tblCellMar>
            <w:top w:w="0" w:type="dxa"/>
            <w:left w:w="108" w:type="dxa"/>
            <w:bottom w:w="0" w:type="dxa"/>
            <w:right w:w="108" w:type="dxa"/>
          </w:tblCellMar>
        </w:tblPrEx>
        <w:trPr>
          <w:trHeight w:val="624" w:hRule="atLeast"/>
        </w:trPr>
        <w:tc>
          <w:tcPr>
            <w:tcW w:w="714" w:type="dxa"/>
            <w:vMerge w:val="continue"/>
            <w:tcBorders>
              <w:top w:val="nil"/>
              <w:left w:val="single" w:color="auto" w:sz="4" w:space="0"/>
              <w:bottom w:val="single" w:color="auto" w:sz="4" w:space="0"/>
              <w:right w:val="single" w:color="auto" w:sz="4" w:space="0"/>
            </w:tcBorders>
            <w:vAlign w:val="center"/>
          </w:tcPr>
          <w:p>
            <w:pPr>
              <w:widowControl/>
              <w:jc w:val="left"/>
              <w:rPr>
                <w:rFonts w:cs="宋体"/>
                <w:kern w:val="0"/>
                <w:sz w:val="18"/>
                <w:szCs w:val="18"/>
              </w:rPr>
            </w:pPr>
          </w:p>
        </w:tc>
        <w:tc>
          <w:tcPr>
            <w:tcW w:w="992"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沅江浦市镇以下</w:t>
            </w:r>
          </w:p>
        </w:tc>
        <w:tc>
          <w:tcPr>
            <w:tcW w:w="851"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13482</w:t>
            </w:r>
          </w:p>
        </w:tc>
        <w:tc>
          <w:tcPr>
            <w:tcW w:w="992"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269.6</w:t>
            </w:r>
          </w:p>
        </w:tc>
        <w:tc>
          <w:tcPr>
            <w:tcW w:w="851" w:type="dxa"/>
            <w:tcBorders>
              <w:top w:val="nil"/>
              <w:left w:val="nil"/>
              <w:bottom w:val="single" w:color="auto" w:sz="4" w:space="0"/>
              <w:right w:val="single" w:color="auto" w:sz="4" w:space="0"/>
            </w:tcBorders>
            <w:shd w:val="clear" w:color="auto" w:fill="auto"/>
            <w:noWrap/>
            <w:vAlign w:val="center"/>
          </w:tcPr>
          <w:p>
            <w:pPr>
              <w:widowControl/>
              <w:jc w:val="right"/>
              <w:rPr>
                <w:rFonts w:cs="宋体"/>
                <w:kern w:val="0"/>
                <w:sz w:val="24"/>
                <w:szCs w:val="24"/>
              </w:rPr>
            </w:pPr>
            <w:r>
              <w:rPr>
                <w:rFonts w:hint="eastAsia" w:cs="宋体"/>
                <w:kern w:val="0"/>
                <w:sz w:val="24"/>
                <w:szCs w:val="24"/>
              </w:rPr>
              <w:t>197.73</w:t>
            </w:r>
          </w:p>
        </w:tc>
        <w:tc>
          <w:tcPr>
            <w:tcW w:w="850" w:type="dxa"/>
            <w:tcBorders>
              <w:top w:val="nil"/>
              <w:left w:val="nil"/>
              <w:bottom w:val="single" w:color="auto" w:sz="4" w:space="0"/>
              <w:right w:val="single" w:color="auto" w:sz="4" w:space="0"/>
            </w:tcBorders>
            <w:shd w:val="clear" w:color="auto" w:fill="auto"/>
            <w:vAlign w:val="center"/>
          </w:tcPr>
          <w:p>
            <w:pPr>
              <w:widowControl/>
              <w:jc w:val="right"/>
              <w:rPr>
                <w:rFonts w:cs="宋体"/>
                <w:kern w:val="0"/>
                <w:sz w:val="24"/>
                <w:szCs w:val="24"/>
              </w:rPr>
            </w:pPr>
            <w:r>
              <w:rPr>
                <w:rFonts w:hint="eastAsia" w:cs="宋体"/>
                <w:kern w:val="0"/>
                <w:sz w:val="24"/>
                <w:szCs w:val="24"/>
              </w:rPr>
              <w:t>32.21</w:t>
            </w:r>
          </w:p>
        </w:tc>
        <w:tc>
          <w:tcPr>
            <w:tcW w:w="851" w:type="dxa"/>
            <w:tcBorders>
              <w:top w:val="nil"/>
              <w:left w:val="nil"/>
              <w:bottom w:val="single" w:color="auto" w:sz="4" w:space="0"/>
              <w:right w:val="single" w:color="auto" w:sz="4" w:space="0"/>
            </w:tcBorders>
            <w:shd w:val="clear" w:color="auto" w:fill="auto"/>
            <w:vAlign w:val="center"/>
          </w:tcPr>
          <w:p>
            <w:pPr>
              <w:widowControl/>
              <w:jc w:val="right"/>
              <w:rPr>
                <w:rFonts w:cs="宋体"/>
                <w:kern w:val="0"/>
                <w:sz w:val="24"/>
                <w:szCs w:val="24"/>
              </w:rPr>
            </w:pPr>
            <w:r>
              <w:rPr>
                <w:rFonts w:hint="eastAsia" w:cs="宋体"/>
                <w:kern w:val="0"/>
                <w:sz w:val="24"/>
                <w:szCs w:val="24"/>
              </w:rPr>
              <w:t>32.21</w:t>
            </w:r>
          </w:p>
        </w:tc>
        <w:tc>
          <w:tcPr>
            <w:tcW w:w="850" w:type="dxa"/>
            <w:tcBorders>
              <w:top w:val="nil"/>
              <w:left w:val="nil"/>
              <w:bottom w:val="single" w:color="auto" w:sz="4" w:space="0"/>
              <w:right w:val="single" w:color="auto" w:sz="4" w:space="0"/>
            </w:tcBorders>
            <w:shd w:val="clear" w:color="auto" w:fill="auto"/>
            <w:noWrap/>
            <w:vAlign w:val="center"/>
          </w:tcPr>
          <w:p>
            <w:pPr>
              <w:widowControl/>
              <w:jc w:val="right"/>
              <w:rPr>
                <w:rFonts w:cs="宋体"/>
                <w:kern w:val="0"/>
                <w:sz w:val="24"/>
                <w:szCs w:val="24"/>
              </w:rPr>
            </w:pPr>
            <w:r>
              <w:rPr>
                <w:rFonts w:hint="eastAsia" w:cs="宋体"/>
                <w:kern w:val="0"/>
                <w:sz w:val="24"/>
                <w:szCs w:val="24"/>
              </w:rPr>
              <w:t>197.73</w:t>
            </w:r>
          </w:p>
        </w:tc>
        <w:tc>
          <w:tcPr>
            <w:tcW w:w="709" w:type="dxa"/>
            <w:tcBorders>
              <w:top w:val="nil"/>
              <w:left w:val="nil"/>
              <w:bottom w:val="single" w:color="auto" w:sz="4" w:space="0"/>
              <w:right w:val="single" w:color="auto" w:sz="4" w:space="0"/>
            </w:tcBorders>
            <w:shd w:val="clear" w:color="auto" w:fill="auto"/>
            <w:vAlign w:val="center"/>
          </w:tcPr>
          <w:p>
            <w:pPr>
              <w:widowControl/>
              <w:jc w:val="right"/>
              <w:rPr>
                <w:rFonts w:cs="宋体"/>
                <w:kern w:val="0"/>
                <w:sz w:val="24"/>
                <w:szCs w:val="24"/>
              </w:rPr>
            </w:pPr>
            <w:r>
              <w:rPr>
                <w:rFonts w:hint="eastAsia" w:cs="宋体"/>
                <w:kern w:val="0"/>
                <w:sz w:val="24"/>
                <w:szCs w:val="24"/>
              </w:rPr>
              <w:t>0.73</w:t>
            </w:r>
          </w:p>
        </w:tc>
        <w:tc>
          <w:tcPr>
            <w:tcW w:w="1134" w:type="dxa"/>
            <w:tcBorders>
              <w:top w:val="nil"/>
              <w:left w:val="nil"/>
              <w:bottom w:val="single" w:color="auto" w:sz="4" w:space="0"/>
              <w:right w:val="single" w:color="auto" w:sz="4" w:space="0"/>
            </w:tcBorders>
            <w:shd w:val="clear" w:color="auto" w:fill="auto"/>
            <w:noWrap/>
            <w:vAlign w:val="center"/>
          </w:tcPr>
          <w:p>
            <w:pPr>
              <w:widowControl/>
              <w:jc w:val="right"/>
              <w:rPr>
                <w:rFonts w:cs="宋体"/>
                <w:kern w:val="0"/>
                <w:sz w:val="24"/>
                <w:szCs w:val="24"/>
              </w:rPr>
            </w:pPr>
            <w:r>
              <w:rPr>
                <w:rFonts w:hint="eastAsia" w:cs="宋体"/>
                <w:kern w:val="0"/>
                <w:sz w:val="24"/>
                <w:szCs w:val="24"/>
              </w:rPr>
              <w:t xml:space="preserve">23.89 </w:t>
            </w:r>
          </w:p>
        </w:tc>
      </w:tr>
      <w:tr>
        <w:tblPrEx>
          <w:tblCellMar>
            <w:top w:w="0" w:type="dxa"/>
            <w:left w:w="108" w:type="dxa"/>
            <w:bottom w:w="0" w:type="dxa"/>
            <w:right w:w="108" w:type="dxa"/>
          </w:tblCellMar>
        </w:tblPrEx>
        <w:trPr>
          <w:trHeight w:val="624" w:hRule="atLeast"/>
        </w:trPr>
        <w:tc>
          <w:tcPr>
            <w:tcW w:w="714" w:type="dxa"/>
            <w:vMerge w:val="continue"/>
            <w:tcBorders>
              <w:top w:val="nil"/>
              <w:left w:val="single" w:color="auto" w:sz="4" w:space="0"/>
              <w:bottom w:val="single" w:color="auto" w:sz="4" w:space="0"/>
              <w:right w:val="single" w:color="auto" w:sz="4" w:space="0"/>
            </w:tcBorders>
            <w:vAlign w:val="center"/>
          </w:tcPr>
          <w:p>
            <w:pPr>
              <w:widowControl/>
              <w:jc w:val="left"/>
              <w:rPr>
                <w:rFonts w:cs="宋体"/>
                <w:kern w:val="0"/>
                <w:sz w:val="18"/>
                <w:szCs w:val="18"/>
              </w:rPr>
            </w:pPr>
          </w:p>
        </w:tc>
        <w:tc>
          <w:tcPr>
            <w:tcW w:w="992"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澧水区</w:t>
            </w:r>
          </w:p>
        </w:tc>
        <w:tc>
          <w:tcPr>
            <w:tcW w:w="851"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1042</w:t>
            </w:r>
          </w:p>
        </w:tc>
        <w:tc>
          <w:tcPr>
            <w:tcW w:w="992"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23.4</w:t>
            </w:r>
          </w:p>
        </w:tc>
        <w:tc>
          <w:tcPr>
            <w:tcW w:w="851" w:type="dxa"/>
            <w:tcBorders>
              <w:top w:val="nil"/>
              <w:left w:val="nil"/>
              <w:bottom w:val="single" w:color="auto" w:sz="4" w:space="0"/>
              <w:right w:val="single" w:color="auto" w:sz="4" w:space="0"/>
            </w:tcBorders>
            <w:shd w:val="clear" w:color="auto" w:fill="auto"/>
            <w:noWrap/>
            <w:vAlign w:val="center"/>
          </w:tcPr>
          <w:p>
            <w:pPr>
              <w:widowControl/>
              <w:jc w:val="right"/>
              <w:rPr>
                <w:rFonts w:cs="宋体"/>
                <w:kern w:val="0"/>
                <w:sz w:val="24"/>
                <w:szCs w:val="24"/>
              </w:rPr>
            </w:pPr>
            <w:r>
              <w:rPr>
                <w:rFonts w:hint="eastAsia" w:cs="宋体"/>
                <w:kern w:val="0"/>
                <w:sz w:val="24"/>
                <w:szCs w:val="24"/>
              </w:rPr>
              <w:t>17.75</w:t>
            </w:r>
          </w:p>
        </w:tc>
        <w:tc>
          <w:tcPr>
            <w:tcW w:w="850" w:type="dxa"/>
            <w:tcBorders>
              <w:top w:val="nil"/>
              <w:left w:val="nil"/>
              <w:bottom w:val="single" w:color="auto" w:sz="4" w:space="0"/>
              <w:right w:val="single" w:color="auto" w:sz="4" w:space="0"/>
            </w:tcBorders>
            <w:shd w:val="clear" w:color="auto" w:fill="auto"/>
            <w:vAlign w:val="center"/>
          </w:tcPr>
          <w:p>
            <w:pPr>
              <w:widowControl/>
              <w:jc w:val="right"/>
              <w:rPr>
                <w:rFonts w:cs="宋体"/>
                <w:kern w:val="0"/>
                <w:sz w:val="24"/>
                <w:szCs w:val="24"/>
              </w:rPr>
            </w:pPr>
            <w:r>
              <w:rPr>
                <w:rFonts w:hint="eastAsia" w:cs="宋体"/>
                <w:kern w:val="0"/>
                <w:sz w:val="24"/>
                <w:szCs w:val="24"/>
              </w:rPr>
              <w:t>2.49</w:t>
            </w:r>
          </w:p>
        </w:tc>
        <w:tc>
          <w:tcPr>
            <w:tcW w:w="851" w:type="dxa"/>
            <w:tcBorders>
              <w:top w:val="nil"/>
              <w:left w:val="nil"/>
              <w:bottom w:val="single" w:color="auto" w:sz="4" w:space="0"/>
              <w:right w:val="single" w:color="auto" w:sz="4" w:space="0"/>
            </w:tcBorders>
            <w:shd w:val="clear" w:color="auto" w:fill="auto"/>
            <w:vAlign w:val="center"/>
          </w:tcPr>
          <w:p>
            <w:pPr>
              <w:widowControl/>
              <w:jc w:val="right"/>
              <w:rPr>
                <w:rFonts w:cs="宋体"/>
                <w:kern w:val="0"/>
                <w:sz w:val="24"/>
                <w:szCs w:val="24"/>
              </w:rPr>
            </w:pPr>
            <w:r>
              <w:rPr>
                <w:rFonts w:hint="eastAsia" w:cs="宋体"/>
                <w:kern w:val="0"/>
                <w:sz w:val="24"/>
                <w:szCs w:val="24"/>
              </w:rPr>
              <w:t>2.49</w:t>
            </w:r>
          </w:p>
        </w:tc>
        <w:tc>
          <w:tcPr>
            <w:tcW w:w="850" w:type="dxa"/>
            <w:tcBorders>
              <w:top w:val="nil"/>
              <w:left w:val="nil"/>
              <w:bottom w:val="single" w:color="auto" w:sz="4" w:space="0"/>
              <w:right w:val="single" w:color="auto" w:sz="4" w:space="0"/>
            </w:tcBorders>
            <w:shd w:val="clear" w:color="auto" w:fill="auto"/>
            <w:noWrap/>
            <w:vAlign w:val="center"/>
          </w:tcPr>
          <w:p>
            <w:pPr>
              <w:widowControl/>
              <w:jc w:val="right"/>
              <w:rPr>
                <w:rFonts w:cs="宋体"/>
                <w:kern w:val="0"/>
                <w:sz w:val="24"/>
                <w:szCs w:val="24"/>
              </w:rPr>
            </w:pPr>
            <w:r>
              <w:rPr>
                <w:rFonts w:hint="eastAsia" w:cs="宋体"/>
                <w:kern w:val="0"/>
                <w:sz w:val="24"/>
                <w:szCs w:val="24"/>
              </w:rPr>
              <w:t>17.75</w:t>
            </w:r>
          </w:p>
        </w:tc>
        <w:tc>
          <w:tcPr>
            <w:tcW w:w="709" w:type="dxa"/>
            <w:tcBorders>
              <w:top w:val="nil"/>
              <w:left w:val="nil"/>
              <w:bottom w:val="single" w:color="auto" w:sz="4" w:space="0"/>
              <w:right w:val="single" w:color="auto" w:sz="4" w:space="0"/>
            </w:tcBorders>
            <w:shd w:val="clear" w:color="auto" w:fill="auto"/>
            <w:vAlign w:val="center"/>
          </w:tcPr>
          <w:p>
            <w:pPr>
              <w:widowControl/>
              <w:jc w:val="right"/>
              <w:rPr>
                <w:rFonts w:cs="宋体"/>
                <w:kern w:val="0"/>
                <w:sz w:val="24"/>
                <w:szCs w:val="24"/>
              </w:rPr>
            </w:pPr>
            <w:r>
              <w:rPr>
                <w:rFonts w:hint="eastAsia" w:cs="宋体"/>
                <w:kern w:val="0"/>
                <w:sz w:val="24"/>
                <w:szCs w:val="24"/>
              </w:rPr>
              <w:t>0.76</w:t>
            </w:r>
          </w:p>
        </w:tc>
        <w:tc>
          <w:tcPr>
            <w:tcW w:w="1134" w:type="dxa"/>
            <w:tcBorders>
              <w:top w:val="nil"/>
              <w:left w:val="nil"/>
              <w:bottom w:val="single" w:color="auto" w:sz="4" w:space="0"/>
              <w:right w:val="single" w:color="auto" w:sz="4" w:space="0"/>
            </w:tcBorders>
            <w:shd w:val="clear" w:color="auto" w:fill="auto"/>
            <w:noWrap/>
            <w:vAlign w:val="center"/>
          </w:tcPr>
          <w:p>
            <w:pPr>
              <w:widowControl/>
              <w:jc w:val="right"/>
              <w:rPr>
                <w:rFonts w:cs="宋体"/>
                <w:kern w:val="0"/>
                <w:sz w:val="24"/>
                <w:szCs w:val="24"/>
              </w:rPr>
            </w:pPr>
            <w:r>
              <w:rPr>
                <w:rFonts w:hint="eastAsia" w:cs="宋体"/>
                <w:kern w:val="0"/>
                <w:sz w:val="24"/>
                <w:szCs w:val="24"/>
              </w:rPr>
              <w:t xml:space="preserve">23.90 </w:t>
            </w:r>
          </w:p>
        </w:tc>
      </w:tr>
      <w:tr>
        <w:tblPrEx>
          <w:tblCellMar>
            <w:top w:w="0" w:type="dxa"/>
            <w:left w:w="108" w:type="dxa"/>
            <w:bottom w:w="0" w:type="dxa"/>
            <w:right w:w="108" w:type="dxa"/>
          </w:tblCellMar>
        </w:tblPrEx>
        <w:trPr>
          <w:trHeight w:val="624" w:hRule="atLeast"/>
        </w:trPr>
        <w:tc>
          <w:tcPr>
            <w:tcW w:w="1706" w:type="dxa"/>
            <w:gridSpan w:val="2"/>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全州</w:t>
            </w:r>
          </w:p>
        </w:tc>
        <w:tc>
          <w:tcPr>
            <w:tcW w:w="851" w:type="dxa"/>
            <w:tcBorders>
              <w:top w:val="nil"/>
              <w:left w:val="nil"/>
              <w:bottom w:val="single" w:color="auto" w:sz="4" w:space="0"/>
              <w:right w:val="single" w:color="auto" w:sz="4" w:space="0"/>
            </w:tcBorders>
            <w:shd w:val="clear" w:color="auto" w:fill="auto"/>
            <w:vAlign w:val="center"/>
          </w:tcPr>
          <w:p>
            <w:pPr>
              <w:widowControl/>
              <w:jc w:val="right"/>
              <w:rPr>
                <w:rFonts w:cs="宋体"/>
                <w:kern w:val="0"/>
                <w:sz w:val="24"/>
                <w:szCs w:val="24"/>
              </w:rPr>
            </w:pPr>
            <w:r>
              <w:rPr>
                <w:rFonts w:hint="eastAsia" w:cs="宋体"/>
                <w:kern w:val="0"/>
                <w:sz w:val="24"/>
                <w:szCs w:val="24"/>
              </w:rPr>
              <w:t>15462</w:t>
            </w:r>
          </w:p>
        </w:tc>
        <w:tc>
          <w:tcPr>
            <w:tcW w:w="992" w:type="dxa"/>
            <w:tcBorders>
              <w:top w:val="nil"/>
              <w:left w:val="nil"/>
              <w:bottom w:val="single" w:color="auto" w:sz="4" w:space="0"/>
              <w:right w:val="single" w:color="auto" w:sz="4" w:space="0"/>
            </w:tcBorders>
            <w:shd w:val="clear" w:color="auto" w:fill="auto"/>
            <w:vAlign w:val="center"/>
          </w:tcPr>
          <w:p>
            <w:pPr>
              <w:widowControl/>
              <w:jc w:val="right"/>
              <w:rPr>
                <w:rFonts w:cs="宋体"/>
                <w:kern w:val="0"/>
                <w:sz w:val="24"/>
                <w:szCs w:val="24"/>
              </w:rPr>
            </w:pPr>
            <w:r>
              <w:rPr>
                <w:rFonts w:hint="eastAsia" w:cs="宋体"/>
                <w:kern w:val="0"/>
                <w:sz w:val="24"/>
                <w:szCs w:val="24"/>
              </w:rPr>
              <w:t>310.15</w:t>
            </w:r>
          </w:p>
        </w:tc>
        <w:tc>
          <w:tcPr>
            <w:tcW w:w="851" w:type="dxa"/>
            <w:tcBorders>
              <w:top w:val="nil"/>
              <w:left w:val="nil"/>
              <w:bottom w:val="single" w:color="auto" w:sz="4" w:space="0"/>
              <w:right w:val="single" w:color="auto" w:sz="4" w:space="0"/>
            </w:tcBorders>
            <w:shd w:val="clear" w:color="auto" w:fill="auto"/>
            <w:vAlign w:val="center"/>
          </w:tcPr>
          <w:p>
            <w:pPr>
              <w:widowControl/>
              <w:jc w:val="right"/>
              <w:rPr>
                <w:rFonts w:cs="宋体"/>
                <w:kern w:val="0"/>
                <w:sz w:val="24"/>
                <w:szCs w:val="24"/>
              </w:rPr>
            </w:pPr>
            <w:r>
              <w:rPr>
                <w:rFonts w:hint="eastAsia" w:cs="宋体"/>
                <w:kern w:val="0"/>
                <w:sz w:val="24"/>
                <w:szCs w:val="24"/>
              </w:rPr>
              <w:t>226.81</w:t>
            </w:r>
          </w:p>
        </w:tc>
        <w:tc>
          <w:tcPr>
            <w:tcW w:w="850" w:type="dxa"/>
            <w:tcBorders>
              <w:top w:val="nil"/>
              <w:left w:val="nil"/>
              <w:bottom w:val="single" w:color="auto" w:sz="4" w:space="0"/>
              <w:right w:val="single" w:color="auto" w:sz="4" w:space="0"/>
            </w:tcBorders>
            <w:shd w:val="clear" w:color="auto" w:fill="auto"/>
            <w:vAlign w:val="center"/>
          </w:tcPr>
          <w:p>
            <w:pPr>
              <w:widowControl/>
              <w:jc w:val="right"/>
              <w:rPr>
                <w:rFonts w:cs="宋体"/>
                <w:kern w:val="0"/>
                <w:sz w:val="24"/>
                <w:szCs w:val="24"/>
              </w:rPr>
            </w:pPr>
            <w:r>
              <w:rPr>
                <w:rFonts w:hint="eastAsia" w:cs="宋体"/>
                <w:kern w:val="0"/>
                <w:sz w:val="24"/>
                <w:szCs w:val="24"/>
              </w:rPr>
              <w:t>36.94</w:t>
            </w:r>
          </w:p>
        </w:tc>
        <w:tc>
          <w:tcPr>
            <w:tcW w:w="851" w:type="dxa"/>
            <w:tcBorders>
              <w:top w:val="nil"/>
              <w:left w:val="nil"/>
              <w:bottom w:val="single" w:color="auto" w:sz="4" w:space="0"/>
              <w:right w:val="single" w:color="auto" w:sz="4" w:space="0"/>
            </w:tcBorders>
            <w:shd w:val="clear" w:color="auto" w:fill="auto"/>
            <w:vAlign w:val="center"/>
          </w:tcPr>
          <w:p>
            <w:pPr>
              <w:widowControl/>
              <w:jc w:val="right"/>
              <w:rPr>
                <w:rFonts w:cs="宋体"/>
                <w:kern w:val="0"/>
                <w:sz w:val="24"/>
                <w:szCs w:val="24"/>
              </w:rPr>
            </w:pPr>
            <w:r>
              <w:rPr>
                <w:rFonts w:hint="eastAsia" w:cs="宋体"/>
                <w:kern w:val="0"/>
                <w:sz w:val="24"/>
                <w:szCs w:val="24"/>
              </w:rPr>
              <w:t>36.94</w:t>
            </w:r>
          </w:p>
        </w:tc>
        <w:tc>
          <w:tcPr>
            <w:tcW w:w="850" w:type="dxa"/>
            <w:tcBorders>
              <w:top w:val="nil"/>
              <w:left w:val="nil"/>
              <w:bottom w:val="single" w:color="auto" w:sz="4" w:space="0"/>
              <w:right w:val="single" w:color="auto" w:sz="4" w:space="0"/>
            </w:tcBorders>
            <w:shd w:val="clear" w:color="auto" w:fill="auto"/>
            <w:vAlign w:val="center"/>
          </w:tcPr>
          <w:p>
            <w:pPr>
              <w:widowControl/>
              <w:jc w:val="right"/>
              <w:rPr>
                <w:rFonts w:cs="宋体"/>
                <w:kern w:val="0"/>
                <w:sz w:val="24"/>
                <w:szCs w:val="24"/>
              </w:rPr>
            </w:pPr>
            <w:r>
              <w:rPr>
                <w:rFonts w:hint="eastAsia" w:cs="宋体"/>
                <w:kern w:val="0"/>
                <w:sz w:val="24"/>
                <w:szCs w:val="24"/>
              </w:rPr>
              <w:t>226.81</w:t>
            </w:r>
          </w:p>
        </w:tc>
        <w:tc>
          <w:tcPr>
            <w:tcW w:w="709" w:type="dxa"/>
            <w:tcBorders>
              <w:top w:val="nil"/>
              <w:left w:val="nil"/>
              <w:bottom w:val="single" w:color="auto" w:sz="4" w:space="0"/>
              <w:right w:val="single" w:color="auto" w:sz="4" w:space="0"/>
            </w:tcBorders>
            <w:shd w:val="clear" w:color="auto" w:fill="auto"/>
            <w:vAlign w:val="center"/>
          </w:tcPr>
          <w:p>
            <w:pPr>
              <w:widowControl/>
              <w:jc w:val="right"/>
              <w:rPr>
                <w:rFonts w:cs="宋体"/>
                <w:kern w:val="0"/>
                <w:sz w:val="24"/>
                <w:szCs w:val="24"/>
              </w:rPr>
            </w:pPr>
            <w:r>
              <w:rPr>
                <w:rFonts w:hint="eastAsia" w:cs="宋体"/>
                <w:kern w:val="0"/>
                <w:sz w:val="24"/>
                <w:szCs w:val="24"/>
              </w:rPr>
              <w:t>0.73</w:t>
            </w:r>
          </w:p>
        </w:tc>
        <w:tc>
          <w:tcPr>
            <w:tcW w:w="1134" w:type="dxa"/>
            <w:tcBorders>
              <w:top w:val="nil"/>
              <w:left w:val="nil"/>
              <w:bottom w:val="single" w:color="auto" w:sz="4" w:space="0"/>
              <w:right w:val="single" w:color="auto" w:sz="4" w:space="0"/>
            </w:tcBorders>
            <w:shd w:val="clear" w:color="auto" w:fill="auto"/>
            <w:noWrap/>
            <w:vAlign w:val="center"/>
          </w:tcPr>
          <w:p>
            <w:pPr>
              <w:widowControl/>
              <w:jc w:val="right"/>
              <w:rPr>
                <w:rFonts w:cs="宋体"/>
                <w:kern w:val="0"/>
                <w:sz w:val="24"/>
                <w:szCs w:val="24"/>
              </w:rPr>
            </w:pPr>
            <w:r>
              <w:rPr>
                <w:rFonts w:hint="eastAsia" w:cs="宋体"/>
                <w:kern w:val="0"/>
                <w:sz w:val="24"/>
                <w:szCs w:val="24"/>
              </w:rPr>
              <w:t xml:space="preserve">23.89 </w:t>
            </w:r>
          </w:p>
        </w:tc>
      </w:tr>
    </w:tbl>
    <w:p>
      <w:pPr>
        <w:ind w:firstLine="421" w:firstLineChars="150"/>
        <w:jc w:val="center"/>
        <w:rPr>
          <w:b/>
          <w:color w:val="000000" w:themeColor="text1"/>
          <w:sz w:val="28"/>
          <w:szCs w:val="28"/>
        </w:rPr>
      </w:pPr>
      <w:r>
        <w:rPr>
          <w:rFonts w:hint="eastAsia"/>
          <w:b/>
          <w:color w:val="000000" w:themeColor="text1"/>
          <w:sz w:val="28"/>
          <w:szCs w:val="28"/>
        </w:rPr>
        <w:t>△表5 2020年各水资源分区水资源总量</w:t>
      </w:r>
    </w:p>
    <w:p>
      <w:pPr>
        <w:rPr>
          <w:b/>
          <w:sz w:val="28"/>
          <w:szCs w:val="28"/>
        </w:rPr>
      </w:pPr>
      <w:r>
        <w:rPr>
          <w:rFonts w:hint="eastAsia"/>
          <w:b/>
          <w:sz w:val="28"/>
          <w:szCs w:val="28"/>
        </w:rPr>
        <w:t>（五）出入境总量</w:t>
      </w:r>
    </w:p>
    <w:p>
      <w:pPr>
        <w:ind w:firstLine="562" w:firstLineChars="200"/>
        <w:rPr>
          <w:color w:val="000000" w:themeColor="text1"/>
          <w:sz w:val="28"/>
          <w:szCs w:val="28"/>
        </w:rPr>
      </w:pPr>
      <w:r>
        <w:rPr>
          <w:rFonts w:hint="eastAsia"/>
          <w:b/>
          <w:color w:val="000000" w:themeColor="text1"/>
          <w:sz w:val="28"/>
          <w:szCs w:val="28"/>
        </w:rPr>
        <w:t>入境水量：</w:t>
      </w:r>
      <w:r>
        <w:rPr>
          <w:rFonts w:hint="eastAsia"/>
          <w:color w:val="000000" w:themeColor="text1"/>
          <w:sz w:val="28"/>
          <w:szCs w:val="28"/>
        </w:rPr>
        <w:t>酉水入境水量126.5</w:t>
      </w:r>
      <w:r>
        <w:rPr>
          <w:color w:val="000000" w:themeColor="text1"/>
          <w:sz w:val="28"/>
          <w:szCs w:val="28"/>
        </w:rPr>
        <w:t>亿</w:t>
      </w:r>
      <w:r>
        <w:rPr>
          <w:rFonts w:hint="eastAsia"/>
          <w:sz w:val="28"/>
          <w:szCs w:val="28"/>
        </w:rPr>
        <w:t>m</w:t>
      </w:r>
      <w:r>
        <w:rPr>
          <w:rFonts w:hint="eastAsia"/>
          <w:sz w:val="28"/>
          <w:szCs w:val="28"/>
          <w:vertAlign w:val="superscript"/>
        </w:rPr>
        <w:t>3</w:t>
      </w:r>
      <w:r>
        <w:rPr>
          <w:color w:val="000000" w:themeColor="text1"/>
          <w:sz w:val="28"/>
          <w:szCs w:val="28"/>
        </w:rPr>
        <w:t>，较上年偏多</w:t>
      </w:r>
      <w:r>
        <w:rPr>
          <w:rFonts w:hint="eastAsia"/>
          <w:color w:val="000000" w:themeColor="text1"/>
          <w:sz w:val="28"/>
          <w:szCs w:val="28"/>
        </w:rPr>
        <w:t>117.9</w:t>
      </w:r>
      <w:r>
        <w:rPr>
          <w:color w:val="000000" w:themeColor="text1"/>
          <w:sz w:val="28"/>
          <w:szCs w:val="28"/>
        </w:rPr>
        <w:t>%，较多年平均偏多</w:t>
      </w:r>
      <w:r>
        <w:rPr>
          <w:rFonts w:hint="eastAsia"/>
          <w:color w:val="000000" w:themeColor="text1"/>
          <w:sz w:val="28"/>
          <w:szCs w:val="28"/>
        </w:rPr>
        <w:t>75.8</w:t>
      </w:r>
      <w:r>
        <w:rPr>
          <w:color w:val="000000" w:themeColor="text1"/>
          <w:sz w:val="28"/>
          <w:szCs w:val="28"/>
        </w:rPr>
        <w:t>%；花垣河入境水量</w:t>
      </w:r>
      <w:r>
        <w:rPr>
          <w:rFonts w:hint="eastAsia"/>
          <w:color w:val="000000" w:themeColor="text1"/>
          <w:sz w:val="28"/>
          <w:szCs w:val="28"/>
        </w:rPr>
        <w:t>20.29</w:t>
      </w:r>
      <w:r>
        <w:rPr>
          <w:color w:val="000000" w:themeColor="text1"/>
          <w:sz w:val="28"/>
          <w:szCs w:val="28"/>
        </w:rPr>
        <w:t>亿</w:t>
      </w:r>
      <w:r>
        <w:rPr>
          <w:rFonts w:hint="eastAsia"/>
          <w:sz w:val="28"/>
          <w:szCs w:val="28"/>
        </w:rPr>
        <w:t>m</w:t>
      </w:r>
      <w:r>
        <w:rPr>
          <w:rFonts w:hint="eastAsia"/>
          <w:sz w:val="28"/>
          <w:szCs w:val="28"/>
          <w:vertAlign w:val="superscript"/>
        </w:rPr>
        <w:t>3</w:t>
      </w:r>
      <w:r>
        <w:rPr>
          <w:color w:val="000000" w:themeColor="text1"/>
          <w:sz w:val="28"/>
          <w:szCs w:val="28"/>
        </w:rPr>
        <w:t>，较上年偏多</w:t>
      </w:r>
      <w:r>
        <w:rPr>
          <w:rFonts w:hint="eastAsia"/>
          <w:color w:val="000000" w:themeColor="text1"/>
          <w:sz w:val="28"/>
          <w:szCs w:val="28"/>
        </w:rPr>
        <w:t>6.61</w:t>
      </w:r>
      <w:r>
        <w:rPr>
          <w:color w:val="000000" w:themeColor="text1"/>
          <w:sz w:val="28"/>
          <w:szCs w:val="28"/>
        </w:rPr>
        <w:t>%，较多年平均偏多</w:t>
      </w:r>
      <w:r>
        <w:rPr>
          <w:rFonts w:hint="eastAsia"/>
          <w:color w:val="000000" w:themeColor="text1"/>
          <w:sz w:val="28"/>
          <w:szCs w:val="28"/>
        </w:rPr>
        <w:t>6.41</w:t>
      </w:r>
      <w:r>
        <w:rPr>
          <w:color w:val="000000" w:themeColor="text1"/>
          <w:sz w:val="28"/>
          <w:szCs w:val="28"/>
        </w:rPr>
        <w:t>%；</w:t>
      </w:r>
    </w:p>
    <w:p>
      <w:pPr>
        <w:ind w:firstLine="562" w:firstLineChars="200"/>
        <w:rPr>
          <w:color w:val="000000" w:themeColor="text1"/>
          <w:sz w:val="28"/>
          <w:szCs w:val="28"/>
        </w:rPr>
      </w:pPr>
      <w:r>
        <w:rPr>
          <w:rFonts w:hint="eastAsia"/>
          <w:b/>
          <w:color w:val="000000" w:themeColor="text1"/>
          <w:sz w:val="28"/>
          <w:szCs w:val="28"/>
        </w:rPr>
        <w:t>出境水量：</w:t>
      </w:r>
      <w:r>
        <w:rPr>
          <w:rFonts w:hint="eastAsia"/>
          <w:color w:val="000000" w:themeColor="text1"/>
          <w:sz w:val="28"/>
          <w:szCs w:val="28"/>
        </w:rPr>
        <w:t>我州出境水量大部分于泸溪县武溪镇流入沅江中游怀化市，少部分于永顺县青天坪镇流入澧水南源下游张家界市、于龙山县乌鸦乡流入澧水北源下游桑植县。由于沅江、澧水在湘西州无控制站，出境水量只能用入境水量加境内产水量粗略计算。经计算，</w:t>
      </w:r>
      <w:r>
        <w:rPr>
          <w:color w:val="000000" w:themeColor="text1"/>
          <w:sz w:val="28"/>
          <w:szCs w:val="28"/>
        </w:rPr>
        <w:t>20</w:t>
      </w:r>
      <w:r>
        <w:rPr>
          <w:rFonts w:hint="eastAsia"/>
          <w:color w:val="000000" w:themeColor="text1"/>
          <w:sz w:val="28"/>
          <w:szCs w:val="28"/>
        </w:rPr>
        <w:t>20</w:t>
      </w:r>
      <w:r>
        <w:rPr>
          <w:color w:val="000000" w:themeColor="text1"/>
          <w:sz w:val="28"/>
          <w:szCs w:val="28"/>
        </w:rPr>
        <w:t>年全州出境水量</w:t>
      </w:r>
      <w:r>
        <w:rPr>
          <w:rFonts w:hint="eastAsia"/>
          <w:color w:val="000000" w:themeColor="text1"/>
          <w:sz w:val="28"/>
          <w:szCs w:val="28"/>
        </w:rPr>
        <w:t>355.7</w:t>
      </w:r>
      <w:r>
        <w:rPr>
          <w:color w:val="000000" w:themeColor="text1"/>
          <w:sz w:val="28"/>
          <w:szCs w:val="28"/>
        </w:rPr>
        <w:t>亿</w:t>
      </w:r>
      <w:r>
        <w:rPr>
          <w:rFonts w:hint="eastAsia"/>
          <w:sz w:val="28"/>
          <w:szCs w:val="28"/>
        </w:rPr>
        <w:t>m</w:t>
      </w:r>
      <w:r>
        <w:rPr>
          <w:rFonts w:hint="eastAsia"/>
          <w:sz w:val="28"/>
          <w:szCs w:val="28"/>
          <w:vertAlign w:val="superscript"/>
        </w:rPr>
        <w:t>3</w:t>
      </w:r>
      <w:r>
        <w:rPr>
          <w:color w:val="000000" w:themeColor="text1"/>
          <w:sz w:val="28"/>
          <w:szCs w:val="28"/>
        </w:rPr>
        <w:t>。</w:t>
      </w:r>
      <w:r>
        <w:rPr>
          <w:rFonts w:hint="eastAsia"/>
          <w:color w:val="000000" w:themeColor="text1"/>
          <w:sz w:val="28"/>
          <w:szCs w:val="28"/>
        </w:rPr>
        <w:t>2020年全州出入境水量见表6。</w:t>
      </w:r>
    </w:p>
    <w:tbl>
      <w:tblPr>
        <w:tblStyle w:val="11"/>
        <w:tblW w:w="8700" w:type="dxa"/>
        <w:tblInd w:w="103" w:type="dxa"/>
        <w:tblLayout w:type="autofit"/>
        <w:tblCellMar>
          <w:top w:w="0" w:type="dxa"/>
          <w:left w:w="108" w:type="dxa"/>
          <w:bottom w:w="0" w:type="dxa"/>
          <w:right w:w="108" w:type="dxa"/>
        </w:tblCellMar>
      </w:tblPr>
      <w:tblGrid>
        <w:gridCol w:w="1071"/>
        <w:gridCol w:w="1080"/>
        <w:gridCol w:w="1080"/>
        <w:gridCol w:w="1140"/>
        <w:gridCol w:w="1227"/>
        <w:gridCol w:w="942"/>
        <w:gridCol w:w="1222"/>
        <w:gridCol w:w="938"/>
      </w:tblGrid>
      <w:tr>
        <w:tblPrEx>
          <w:tblCellMar>
            <w:top w:w="0" w:type="dxa"/>
            <w:left w:w="108" w:type="dxa"/>
            <w:bottom w:w="0" w:type="dxa"/>
            <w:right w:w="108" w:type="dxa"/>
          </w:tblCellMar>
        </w:tblPrEx>
        <w:trPr>
          <w:trHeight w:val="270" w:hRule="atLeast"/>
        </w:trPr>
        <w:tc>
          <w:tcPr>
            <w:tcW w:w="1071" w:type="dxa"/>
            <w:vMerge w:val="restart"/>
            <w:tcBorders>
              <w:top w:val="single" w:color="auto" w:sz="4" w:space="0"/>
              <w:left w:val="single" w:color="auto" w:sz="4" w:space="0"/>
              <w:bottom w:val="single" w:color="000000" w:sz="4" w:space="0"/>
              <w:right w:val="single" w:color="auto" w:sz="4" w:space="0"/>
            </w:tcBorders>
            <w:shd w:val="clear" w:color="auto" w:fill="auto"/>
            <w:vAlign w:val="center"/>
          </w:tcPr>
          <w:p>
            <w:pPr>
              <w:widowControl/>
              <w:jc w:val="center"/>
              <w:rPr>
                <w:rFonts w:cs="宋体"/>
                <w:b/>
                <w:kern w:val="0"/>
                <w:sz w:val="24"/>
                <w:szCs w:val="24"/>
              </w:rPr>
            </w:pPr>
            <w:r>
              <w:rPr>
                <w:rFonts w:hint="eastAsia" w:cs="宋体"/>
                <w:b/>
                <w:kern w:val="0"/>
                <w:sz w:val="24"/>
                <w:szCs w:val="24"/>
              </w:rPr>
              <w:t>流域三级分区名称</w:t>
            </w:r>
          </w:p>
        </w:tc>
        <w:tc>
          <w:tcPr>
            <w:tcW w:w="2160" w:type="dxa"/>
            <w:gridSpan w:val="2"/>
            <w:tcBorders>
              <w:top w:val="single" w:color="auto" w:sz="4" w:space="0"/>
              <w:left w:val="nil"/>
              <w:bottom w:val="single" w:color="auto" w:sz="4" w:space="0"/>
              <w:right w:val="single" w:color="auto" w:sz="4" w:space="0"/>
            </w:tcBorders>
            <w:shd w:val="clear" w:color="auto" w:fill="auto"/>
            <w:noWrap/>
            <w:vAlign w:val="center"/>
          </w:tcPr>
          <w:p>
            <w:pPr>
              <w:widowControl/>
              <w:jc w:val="center"/>
              <w:rPr>
                <w:rFonts w:cs="宋体"/>
                <w:b/>
                <w:kern w:val="0"/>
                <w:sz w:val="24"/>
                <w:szCs w:val="24"/>
              </w:rPr>
            </w:pPr>
            <w:r>
              <w:rPr>
                <w:rFonts w:hint="eastAsia" w:cs="宋体"/>
                <w:b/>
                <w:kern w:val="0"/>
                <w:sz w:val="24"/>
                <w:szCs w:val="24"/>
              </w:rPr>
              <w:t>境内</w:t>
            </w:r>
          </w:p>
        </w:tc>
        <w:tc>
          <w:tcPr>
            <w:tcW w:w="3309" w:type="dxa"/>
            <w:gridSpan w:val="3"/>
            <w:tcBorders>
              <w:top w:val="single" w:color="auto" w:sz="4" w:space="0"/>
              <w:left w:val="nil"/>
              <w:bottom w:val="single" w:color="auto" w:sz="4" w:space="0"/>
              <w:right w:val="single" w:color="auto" w:sz="4" w:space="0"/>
            </w:tcBorders>
            <w:shd w:val="clear" w:color="auto" w:fill="auto"/>
            <w:noWrap/>
            <w:vAlign w:val="center"/>
          </w:tcPr>
          <w:p>
            <w:pPr>
              <w:widowControl/>
              <w:jc w:val="center"/>
              <w:rPr>
                <w:rFonts w:cs="宋体"/>
                <w:b/>
                <w:kern w:val="0"/>
                <w:sz w:val="24"/>
                <w:szCs w:val="24"/>
              </w:rPr>
            </w:pPr>
            <w:r>
              <w:rPr>
                <w:rFonts w:hint="eastAsia" w:cs="宋体"/>
                <w:b/>
                <w:kern w:val="0"/>
                <w:sz w:val="24"/>
                <w:szCs w:val="24"/>
              </w:rPr>
              <w:t>入境</w:t>
            </w:r>
          </w:p>
        </w:tc>
        <w:tc>
          <w:tcPr>
            <w:tcW w:w="2160" w:type="dxa"/>
            <w:gridSpan w:val="2"/>
            <w:tcBorders>
              <w:top w:val="single" w:color="auto" w:sz="4" w:space="0"/>
              <w:left w:val="nil"/>
              <w:bottom w:val="single" w:color="auto" w:sz="4" w:space="0"/>
              <w:right w:val="single" w:color="auto" w:sz="4" w:space="0"/>
            </w:tcBorders>
            <w:shd w:val="clear" w:color="auto" w:fill="auto"/>
            <w:noWrap/>
            <w:vAlign w:val="center"/>
          </w:tcPr>
          <w:p>
            <w:pPr>
              <w:widowControl/>
              <w:jc w:val="center"/>
              <w:rPr>
                <w:rFonts w:cs="宋体"/>
                <w:b/>
                <w:kern w:val="0"/>
                <w:sz w:val="24"/>
                <w:szCs w:val="24"/>
              </w:rPr>
            </w:pPr>
            <w:r>
              <w:rPr>
                <w:rFonts w:hint="eastAsia" w:cs="宋体"/>
                <w:b/>
                <w:kern w:val="0"/>
                <w:sz w:val="24"/>
                <w:szCs w:val="24"/>
              </w:rPr>
              <w:t>出境</w:t>
            </w:r>
          </w:p>
        </w:tc>
      </w:tr>
      <w:tr>
        <w:tblPrEx>
          <w:tblCellMar>
            <w:top w:w="0" w:type="dxa"/>
            <w:left w:w="108" w:type="dxa"/>
            <w:bottom w:w="0" w:type="dxa"/>
            <w:right w:w="108" w:type="dxa"/>
          </w:tblCellMar>
        </w:tblPrEx>
        <w:trPr>
          <w:trHeight w:val="270" w:hRule="atLeast"/>
        </w:trPr>
        <w:tc>
          <w:tcPr>
            <w:tcW w:w="1071" w:type="dxa"/>
            <w:vMerge w:val="continue"/>
            <w:tcBorders>
              <w:top w:val="single" w:color="auto" w:sz="4" w:space="0"/>
              <w:left w:val="single" w:color="auto" w:sz="4" w:space="0"/>
              <w:bottom w:val="single" w:color="000000" w:sz="4" w:space="0"/>
              <w:right w:val="single" w:color="auto" w:sz="4" w:space="0"/>
            </w:tcBorders>
            <w:vAlign w:val="center"/>
          </w:tcPr>
          <w:p>
            <w:pPr>
              <w:widowControl/>
              <w:jc w:val="center"/>
              <w:rPr>
                <w:rFonts w:cs="宋体"/>
                <w:kern w:val="0"/>
                <w:sz w:val="24"/>
                <w:szCs w:val="24"/>
              </w:rPr>
            </w:pPr>
          </w:p>
        </w:tc>
        <w:tc>
          <w:tcPr>
            <w:tcW w:w="1080" w:type="dxa"/>
            <w:tcBorders>
              <w:top w:val="nil"/>
              <w:left w:val="nil"/>
              <w:bottom w:val="single" w:color="auto" w:sz="4" w:space="0"/>
              <w:right w:val="single" w:color="auto" w:sz="4" w:space="0"/>
            </w:tcBorders>
            <w:shd w:val="clear" w:color="auto" w:fill="auto"/>
            <w:vAlign w:val="center"/>
          </w:tcPr>
          <w:p>
            <w:pPr>
              <w:widowControl/>
              <w:jc w:val="center"/>
              <w:rPr>
                <w:rFonts w:cs="宋体"/>
                <w:b/>
                <w:bCs/>
                <w:kern w:val="0"/>
                <w:sz w:val="24"/>
                <w:szCs w:val="24"/>
              </w:rPr>
            </w:pPr>
            <w:r>
              <w:rPr>
                <w:rFonts w:hint="eastAsia" w:cs="宋体"/>
                <w:b/>
                <w:bCs/>
                <w:kern w:val="0"/>
                <w:sz w:val="24"/>
                <w:szCs w:val="24"/>
              </w:rPr>
              <w:t>计算  面积</w:t>
            </w:r>
          </w:p>
        </w:tc>
        <w:tc>
          <w:tcPr>
            <w:tcW w:w="1080" w:type="dxa"/>
            <w:tcBorders>
              <w:top w:val="nil"/>
              <w:left w:val="nil"/>
              <w:bottom w:val="single" w:color="auto" w:sz="4" w:space="0"/>
              <w:right w:val="single" w:color="auto" w:sz="4" w:space="0"/>
            </w:tcBorders>
            <w:shd w:val="clear" w:color="auto" w:fill="auto"/>
            <w:vAlign w:val="center"/>
          </w:tcPr>
          <w:p>
            <w:pPr>
              <w:widowControl/>
              <w:jc w:val="center"/>
              <w:rPr>
                <w:rFonts w:cs="宋体"/>
                <w:b/>
                <w:bCs/>
                <w:kern w:val="0"/>
                <w:sz w:val="24"/>
                <w:szCs w:val="24"/>
              </w:rPr>
            </w:pPr>
            <w:r>
              <w:rPr>
                <w:rFonts w:hint="eastAsia" w:cs="宋体"/>
                <w:b/>
                <w:bCs/>
                <w:kern w:val="0"/>
                <w:sz w:val="24"/>
                <w:szCs w:val="24"/>
              </w:rPr>
              <w:t>地表水资源量</w:t>
            </w:r>
          </w:p>
        </w:tc>
        <w:tc>
          <w:tcPr>
            <w:tcW w:w="1140" w:type="dxa"/>
            <w:tcBorders>
              <w:top w:val="nil"/>
              <w:left w:val="nil"/>
              <w:bottom w:val="single" w:color="auto" w:sz="4" w:space="0"/>
              <w:right w:val="single" w:color="auto" w:sz="4" w:space="0"/>
            </w:tcBorders>
            <w:shd w:val="clear" w:color="auto" w:fill="auto"/>
            <w:vAlign w:val="center"/>
          </w:tcPr>
          <w:p>
            <w:pPr>
              <w:widowControl/>
              <w:jc w:val="center"/>
              <w:rPr>
                <w:rFonts w:cs="宋体"/>
                <w:b/>
                <w:bCs/>
                <w:kern w:val="0"/>
                <w:sz w:val="24"/>
                <w:szCs w:val="24"/>
              </w:rPr>
            </w:pPr>
            <w:r>
              <w:rPr>
                <w:rFonts w:hint="eastAsia" w:cs="宋体"/>
                <w:b/>
                <w:bCs/>
                <w:kern w:val="0"/>
                <w:sz w:val="24"/>
                <w:szCs w:val="24"/>
              </w:rPr>
              <w:t>计算  面积</w:t>
            </w:r>
          </w:p>
        </w:tc>
        <w:tc>
          <w:tcPr>
            <w:tcW w:w="1227" w:type="dxa"/>
            <w:vMerge w:val="restart"/>
            <w:tcBorders>
              <w:top w:val="nil"/>
              <w:left w:val="single" w:color="auto" w:sz="4" w:space="0"/>
              <w:bottom w:val="single" w:color="auto" w:sz="4" w:space="0"/>
              <w:right w:val="single" w:color="auto" w:sz="4" w:space="0"/>
            </w:tcBorders>
            <w:shd w:val="clear" w:color="auto" w:fill="auto"/>
            <w:noWrap/>
            <w:vAlign w:val="center"/>
          </w:tcPr>
          <w:p>
            <w:pPr>
              <w:widowControl/>
              <w:jc w:val="center"/>
              <w:rPr>
                <w:rFonts w:cs="宋体"/>
                <w:b/>
                <w:kern w:val="0"/>
                <w:sz w:val="24"/>
                <w:szCs w:val="24"/>
              </w:rPr>
            </w:pPr>
            <w:r>
              <w:rPr>
                <w:rFonts w:hint="eastAsia" w:cs="宋体"/>
                <w:b/>
                <w:kern w:val="0"/>
                <w:sz w:val="24"/>
                <w:szCs w:val="24"/>
              </w:rPr>
              <w:t>河流名称</w:t>
            </w:r>
          </w:p>
        </w:tc>
        <w:tc>
          <w:tcPr>
            <w:tcW w:w="942" w:type="dxa"/>
            <w:tcBorders>
              <w:top w:val="nil"/>
              <w:left w:val="single" w:color="auto" w:sz="4" w:space="0"/>
              <w:bottom w:val="single" w:color="auto" w:sz="4" w:space="0"/>
              <w:right w:val="single" w:color="auto" w:sz="4" w:space="0"/>
            </w:tcBorders>
            <w:shd w:val="clear" w:color="auto" w:fill="auto"/>
            <w:noWrap/>
            <w:vAlign w:val="center"/>
          </w:tcPr>
          <w:p>
            <w:pPr>
              <w:widowControl/>
              <w:jc w:val="center"/>
              <w:rPr>
                <w:rFonts w:cs="宋体"/>
                <w:b/>
                <w:kern w:val="0"/>
                <w:sz w:val="24"/>
                <w:szCs w:val="24"/>
              </w:rPr>
            </w:pPr>
            <w:r>
              <w:rPr>
                <w:rFonts w:hint="eastAsia" w:cs="宋体"/>
                <w:b/>
                <w:kern w:val="0"/>
                <w:sz w:val="24"/>
                <w:szCs w:val="24"/>
              </w:rPr>
              <w:t>水量</w:t>
            </w:r>
          </w:p>
        </w:tc>
        <w:tc>
          <w:tcPr>
            <w:tcW w:w="1222" w:type="dxa"/>
            <w:vMerge w:val="restart"/>
            <w:tcBorders>
              <w:top w:val="nil"/>
              <w:left w:val="single" w:color="auto" w:sz="4" w:space="0"/>
              <w:bottom w:val="single" w:color="auto" w:sz="4" w:space="0"/>
              <w:right w:val="single" w:color="auto" w:sz="4" w:space="0"/>
            </w:tcBorders>
            <w:shd w:val="clear" w:color="auto" w:fill="auto"/>
            <w:noWrap/>
            <w:vAlign w:val="center"/>
          </w:tcPr>
          <w:p>
            <w:pPr>
              <w:widowControl/>
              <w:jc w:val="center"/>
              <w:rPr>
                <w:rFonts w:cs="宋体"/>
                <w:b/>
                <w:kern w:val="0"/>
                <w:sz w:val="24"/>
                <w:szCs w:val="24"/>
              </w:rPr>
            </w:pPr>
            <w:r>
              <w:rPr>
                <w:rFonts w:hint="eastAsia" w:cs="宋体"/>
                <w:b/>
                <w:kern w:val="0"/>
                <w:sz w:val="24"/>
                <w:szCs w:val="24"/>
              </w:rPr>
              <w:t>河流名称</w:t>
            </w:r>
          </w:p>
        </w:tc>
        <w:tc>
          <w:tcPr>
            <w:tcW w:w="938" w:type="dxa"/>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jc w:val="center"/>
              <w:rPr>
                <w:rFonts w:cs="宋体"/>
                <w:b/>
                <w:kern w:val="0"/>
                <w:sz w:val="24"/>
                <w:szCs w:val="24"/>
              </w:rPr>
            </w:pPr>
            <w:r>
              <w:rPr>
                <w:rFonts w:hint="eastAsia" w:cs="宋体"/>
                <w:b/>
                <w:kern w:val="0"/>
                <w:sz w:val="24"/>
                <w:szCs w:val="24"/>
              </w:rPr>
              <w:t>水量</w:t>
            </w:r>
          </w:p>
        </w:tc>
      </w:tr>
      <w:tr>
        <w:tblPrEx>
          <w:tblCellMar>
            <w:top w:w="0" w:type="dxa"/>
            <w:left w:w="108" w:type="dxa"/>
            <w:bottom w:w="0" w:type="dxa"/>
            <w:right w:w="108" w:type="dxa"/>
          </w:tblCellMar>
        </w:tblPrEx>
        <w:trPr>
          <w:trHeight w:val="270" w:hRule="atLeast"/>
        </w:trPr>
        <w:tc>
          <w:tcPr>
            <w:tcW w:w="1071" w:type="dxa"/>
            <w:vMerge w:val="continue"/>
            <w:tcBorders>
              <w:top w:val="single" w:color="auto" w:sz="4" w:space="0"/>
              <w:left w:val="single" w:color="auto" w:sz="4" w:space="0"/>
              <w:bottom w:val="single" w:color="000000" w:sz="4" w:space="0"/>
              <w:right w:val="single" w:color="auto" w:sz="4" w:space="0"/>
            </w:tcBorders>
            <w:vAlign w:val="center"/>
          </w:tcPr>
          <w:p>
            <w:pPr>
              <w:widowControl/>
              <w:jc w:val="center"/>
              <w:rPr>
                <w:rFonts w:cs="宋体"/>
                <w:kern w:val="0"/>
                <w:sz w:val="24"/>
                <w:szCs w:val="24"/>
              </w:rPr>
            </w:pPr>
          </w:p>
        </w:tc>
        <w:tc>
          <w:tcPr>
            <w:tcW w:w="1080" w:type="dxa"/>
            <w:tcBorders>
              <w:top w:val="nil"/>
              <w:left w:val="nil"/>
              <w:bottom w:val="single" w:color="auto" w:sz="4" w:space="0"/>
              <w:right w:val="single" w:color="auto" w:sz="4" w:space="0"/>
            </w:tcBorders>
            <w:shd w:val="clear" w:color="auto" w:fill="auto"/>
            <w:vAlign w:val="center"/>
          </w:tcPr>
          <w:p>
            <w:pPr>
              <w:widowControl/>
              <w:jc w:val="center"/>
              <w:rPr>
                <w:rFonts w:cs="宋体"/>
                <w:bCs/>
                <w:kern w:val="0"/>
                <w:sz w:val="24"/>
                <w:szCs w:val="24"/>
              </w:rPr>
            </w:pPr>
            <w:r>
              <w:rPr>
                <w:rFonts w:hint="eastAsia" w:cs="宋体"/>
                <w:bCs/>
                <w:kern w:val="0"/>
                <w:sz w:val="24"/>
                <w:szCs w:val="24"/>
              </w:rPr>
              <w:t>k㎡</w:t>
            </w:r>
          </w:p>
        </w:tc>
        <w:tc>
          <w:tcPr>
            <w:tcW w:w="1080" w:type="dxa"/>
            <w:tcBorders>
              <w:top w:val="nil"/>
              <w:left w:val="nil"/>
              <w:bottom w:val="single" w:color="auto" w:sz="4" w:space="0"/>
              <w:right w:val="single" w:color="auto" w:sz="4" w:space="0"/>
            </w:tcBorders>
            <w:shd w:val="clear" w:color="auto" w:fill="auto"/>
            <w:vAlign w:val="center"/>
          </w:tcPr>
          <w:p>
            <w:pPr>
              <w:widowControl/>
              <w:jc w:val="center"/>
              <w:rPr>
                <w:rFonts w:cs="宋体"/>
                <w:bCs/>
                <w:kern w:val="0"/>
                <w:sz w:val="24"/>
                <w:szCs w:val="24"/>
              </w:rPr>
            </w:pPr>
            <w:r>
              <w:rPr>
                <w:rFonts w:hint="eastAsia" w:cs="宋体"/>
                <w:bCs/>
                <w:kern w:val="0"/>
                <w:sz w:val="24"/>
                <w:szCs w:val="24"/>
              </w:rPr>
              <w:t>亿m³</w:t>
            </w:r>
          </w:p>
        </w:tc>
        <w:tc>
          <w:tcPr>
            <w:tcW w:w="1140" w:type="dxa"/>
            <w:tcBorders>
              <w:top w:val="nil"/>
              <w:left w:val="nil"/>
              <w:bottom w:val="single" w:color="auto" w:sz="4" w:space="0"/>
              <w:right w:val="single" w:color="auto" w:sz="4" w:space="0"/>
            </w:tcBorders>
            <w:shd w:val="clear" w:color="auto" w:fill="auto"/>
            <w:vAlign w:val="center"/>
          </w:tcPr>
          <w:p>
            <w:pPr>
              <w:widowControl/>
              <w:jc w:val="center"/>
              <w:rPr>
                <w:rFonts w:cs="宋体"/>
                <w:bCs/>
                <w:kern w:val="0"/>
                <w:sz w:val="24"/>
                <w:szCs w:val="24"/>
              </w:rPr>
            </w:pPr>
            <w:r>
              <w:rPr>
                <w:rFonts w:hint="eastAsia" w:cs="宋体"/>
                <w:bCs/>
                <w:kern w:val="0"/>
                <w:sz w:val="24"/>
                <w:szCs w:val="24"/>
              </w:rPr>
              <w:t>k㎡</w:t>
            </w:r>
          </w:p>
        </w:tc>
        <w:tc>
          <w:tcPr>
            <w:tcW w:w="1227" w:type="dxa"/>
            <w:vMerge w:val="continue"/>
            <w:tcBorders>
              <w:top w:val="nil"/>
              <w:left w:val="single" w:color="auto" w:sz="4" w:space="0"/>
              <w:bottom w:val="single" w:color="auto" w:sz="4" w:space="0"/>
              <w:right w:val="single" w:color="auto" w:sz="4" w:space="0"/>
            </w:tcBorders>
            <w:vAlign w:val="center"/>
          </w:tcPr>
          <w:p>
            <w:pPr>
              <w:widowControl/>
              <w:jc w:val="center"/>
              <w:rPr>
                <w:rFonts w:cs="宋体"/>
                <w:kern w:val="0"/>
                <w:sz w:val="24"/>
                <w:szCs w:val="24"/>
              </w:rPr>
            </w:pPr>
          </w:p>
        </w:tc>
        <w:tc>
          <w:tcPr>
            <w:tcW w:w="942"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bCs/>
                <w:kern w:val="0"/>
                <w:sz w:val="24"/>
                <w:szCs w:val="24"/>
              </w:rPr>
              <w:t>亿m³</w:t>
            </w:r>
          </w:p>
        </w:tc>
        <w:tc>
          <w:tcPr>
            <w:tcW w:w="1222" w:type="dxa"/>
            <w:vMerge w:val="continue"/>
            <w:tcBorders>
              <w:top w:val="nil"/>
              <w:left w:val="single" w:color="auto" w:sz="4" w:space="0"/>
              <w:bottom w:val="single" w:color="auto" w:sz="4" w:space="0"/>
              <w:right w:val="single" w:color="auto" w:sz="4" w:space="0"/>
            </w:tcBorders>
            <w:vAlign w:val="center"/>
          </w:tcPr>
          <w:p>
            <w:pPr>
              <w:widowControl/>
              <w:jc w:val="center"/>
              <w:rPr>
                <w:rFonts w:cs="宋体"/>
                <w:kern w:val="0"/>
                <w:sz w:val="24"/>
                <w:szCs w:val="24"/>
              </w:rPr>
            </w:pPr>
          </w:p>
        </w:tc>
        <w:tc>
          <w:tcPr>
            <w:tcW w:w="938"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bCs/>
                <w:kern w:val="0"/>
                <w:sz w:val="24"/>
                <w:szCs w:val="24"/>
              </w:rPr>
              <w:t>亿m³</w:t>
            </w:r>
          </w:p>
        </w:tc>
      </w:tr>
      <w:tr>
        <w:tblPrEx>
          <w:tblCellMar>
            <w:top w:w="0" w:type="dxa"/>
            <w:left w:w="108" w:type="dxa"/>
            <w:bottom w:w="0" w:type="dxa"/>
            <w:right w:w="108" w:type="dxa"/>
          </w:tblCellMar>
        </w:tblPrEx>
        <w:trPr>
          <w:trHeight w:val="624" w:hRule="atLeast"/>
        </w:trPr>
        <w:tc>
          <w:tcPr>
            <w:tcW w:w="1071"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沅江浦市镇以上</w:t>
            </w:r>
          </w:p>
        </w:tc>
        <w:tc>
          <w:tcPr>
            <w:tcW w:w="108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938</w:t>
            </w:r>
          </w:p>
        </w:tc>
        <w:tc>
          <w:tcPr>
            <w:tcW w:w="1080"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11.33</w:t>
            </w:r>
          </w:p>
        </w:tc>
        <w:tc>
          <w:tcPr>
            <w:tcW w:w="1140"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p>
        </w:tc>
        <w:tc>
          <w:tcPr>
            <w:tcW w:w="1227"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p>
        </w:tc>
        <w:tc>
          <w:tcPr>
            <w:tcW w:w="942"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p>
        </w:tc>
        <w:tc>
          <w:tcPr>
            <w:tcW w:w="1222"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p>
        </w:tc>
        <w:tc>
          <w:tcPr>
            <w:tcW w:w="938"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p>
        </w:tc>
      </w:tr>
      <w:tr>
        <w:tblPrEx>
          <w:tblCellMar>
            <w:top w:w="0" w:type="dxa"/>
            <w:left w:w="108" w:type="dxa"/>
            <w:bottom w:w="0" w:type="dxa"/>
            <w:right w:w="108" w:type="dxa"/>
          </w:tblCellMar>
        </w:tblPrEx>
        <w:trPr>
          <w:trHeight w:val="397" w:hRule="atLeast"/>
        </w:trPr>
        <w:tc>
          <w:tcPr>
            <w:tcW w:w="1071" w:type="dxa"/>
            <w:vMerge w:val="restart"/>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沅江浦市镇以下</w:t>
            </w:r>
          </w:p>
        </w:tc>
        <w:tc>
          <w:tcPr>
            <w:tcW w:w="1080" w:type="dxa"/>
            <w:vMerge w:val="restart"/>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13482</w:t>
            </w:r>
          </w:p>
        </w:tc>
        <w:tc>
          <w:tcPr>
            <w:tcW w:w="1080" w:type="dxa"/>
            <w:vMerge w:val="restart"/>
            <w:tcBorders>
              <w:top w:val="nil"/>
              <w:left w:val="single" w:color="auto" w:sz="4" w:space="0"/>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197.73</w:t>
            </w:r>
          </w:p>
        </w:tc>
        <w:tc>
          <w:tcPr>
            <w:tcW w:w="1140"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7310</w:t>
            </w:r>
          </w:p>
        </w:tc>
        <w:tc>
          <w:tcPr>
            <w:tcW w:w="1227"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酉水</w:t>
            </w:r>
          </w:p>
        </w:tc>
        <w:tc>
          <w:tcPr>
            <w:tcW w:w="942"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126.5</w:t>
            </w:r>
          </w:p>
        </w:tc>
        <w:tc>
          <w:tcPr>
            <w:tcW w:w="1222" w:type="dxa"/>
            <w:vMerge w:val="restart"/>
            <w:tcBorders>
              <w:top w:val="nil"/>
              <w:left w:val="single" w:color="auto" w:sz="4" w:space="0"/>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沅江</w:t>
            </w:r>
          </w:p>
        </w:tc>
        <w:tc>
          <w:tcPr>
            <w:tcW w:w="938" w:type="dxa"/>
            <w:vMerge w:val="restart"/>
            <w:tcBorders>
              <w:top w:val="nil"/>
              <w:left w:val="single" w:color="auto" w:sz="4" w:space="0"/>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337.91</w:t>
            </w:r>
          </w:p>
        </w:tc>
      </w:tr>
      <w:tr>
        <w:tblPrEx>
          <w:tblCellMar>
            <w:top w:w="0" w:type="dxa"/>
            <w:left w:w="108" w:type="dxa"/>
            <w:bottom w:w="0" w:type="dxa"/>
            <w:right w:w="108" w:type="dxa"/>
          </w:tblCellMar>
        </w:tblPrEx>
        <w:trPr>
          <w:trHeight w:val="417" w:hRule="atLeast"/>
        </w:trPr>
        <w:tc>
          <w:tcPr>
            <w:tcW w:w="1071" w:type="dxa"/>
            <w:vMerge w:val="continue"/>
            <w:tcBorders>
              <w:top w:val="nil"/>
              <w:left w:val="single" w:color="auto" w:sz="4" w:space="0"/>
              <w:bottom w:val="single" w:color="auto" w:sz="4" w:space="0"/>
              <w:right w:val="single" w:color="auto" w:sz="4" w:space="0"/>
            </w:tcBorders>
            <w:vAlign w:val="center"/>
          </w:tcPr>
          <w:p>
            <w:pPr>
              <w:widowControl/>
              <w:jc w:val="center"/>
              <w:rPr>
                <w:rFonts w:cs="宋体"/>
                <w:kern w:val="0"/>
                <w:sz w:val="18"/>
                <w:szCs w:val="18"/>
              </w:rPr>
            </w:pPr>
          </w:p>
        </w:tc>
        <w:tc>
          <w:tcPr>
            <w:tcW w:w="1080" w:type="dxa"/>
            <w:vMerge w:val="continue"/>
            <w:tcBorders>
              <w:top w:val="nil"/>
              <w:left w:val="single" w:color="auto" w:sz="4" w:space="0"/>
              <w:bottom w:val="single" w:color="auto" w:sz="4" w:space="0"/>
              <w:right w:val="single" w:color="auto" w:sz="4" w:space="0"/>
            </w:tcBorders>
            <w:vAlign w:val="center"/>
          </w:tcPr>
          <w:p>
            <w:pPr>
              <w:widowControl/>
              <w:jc w:val="center"/>
              <w:rPr>
                <w:rFonts w:cs="宋体"/>
                <w:kern w:val="0"/>
                <w:sz w:val="18"/>
                <w:szCs w:val="18"/>
              </w:rPr>
            </w:pPr>
          </w:p>
        </w:tc>
        <w:tc>
          <w:tcPr>
            <w:tcW w:w="1080" w:type="dxa"/>
            <w:vMerge w:val="continue"/>
            <w:tcBorders>
              <w:top w:val="nil"/>
              <w:left w:val="single" w:color="auto" w:sz="4" w:space="0"/>
              <w:bottom w:val="single" w:color="auto" w:sz="4" w:space="0"/>
              <w:right w:val="single" w:color="auto" w:sz="4" w:space="0"/>
            </w:tcBorders>
            <w:vAlign w:val="center"/>
          </w:tcPr>
          <w:p>
            <w:pPr>
              <w:widowControl/>
              <w:jc w:val="center"/>
              <w:rPr>
                <w:rFonts w:cs="宋体"/>
                <w:kern w:val="0"/>
                <w:sz w:val="18"/>
                <w:szCs w:val="18"/>
              </w:rPr>
            </w:pPr>
          </w:p>
        </w:tc>
        <w:tc>
          <w:tcPr>
            <w:tcW w:w="1140"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1536</w:t>
            </w:r>
          </w:p>
        </w:tc>
        <w:tc>
          <w:tcPr>
            <w:tcW w:w="1227"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花垣河</w:t>
            </w:r>
          </w:p>
        </w:tc>
        <w:tc>
          <w:tcPr>
            <w:tcW w:w="942"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13.68</w:t>
            </w:r>
          </w:p>
        </w:tc>
        <w:tc>
          <w:tcPr>
            <w:tcW w:w="1222" w:type="dxa"/>
            <w:vMerge w:val="continue"/>
            <w:tcBorders>
              <w:top w:val="nil"/>
              <w:left w:val="single" w:color="auto" w:sz="4" w:space="0"/>
              <w:bottom w:val="single" w:color="auto" w:sz="4" w:space="0"/>
              <w:right w:val="single" w:color="auto" w:sz="4" w:space="0"/>
            </w:tcBorders>
            <w:vAlign w:val="center"/>
          </w:tcPr>
          <w:p>
            <w:pPr>
              <w:widowControl/>
              <w:jc w:val="center"/>
              <w:rPr>
                <w:rFonts w:cs="宋体"/>
                <w:kern w:val="0"/>
                <w:sz w:val="18"/>
                <w:szCs w:val="18"/>
              </w:rPr>
            </w:pPr>
          </w:p>
        </w:tc>
        <w:tc>
          <w:tcPr>
            <w:tcW w:w="938" w:type="dxa"/>
            <w:vMerge w:val="continue"/>
            <w:tcBorders>
              <w:top w:val="nil"/>
              <w:left w:val="single" w:color="auto" w:sz="4" w:space="0"/>
              <w:bottom w:val="single" w:color="auto" w:sz="4" w:space="0"/>
              <w:right w:val="single" w:color="auto" w:sz="4" w:space="0"/>
            </w:tcBorders>
            <w:vAlign w:val="center"/>
          </w:tcPr>
          <w:p>
            <w:pPr>
              <w:widowControl/>
              <w:jc w:val="center"/>
              <w:rPr>
                <w:rFonts w:cs="宋体"/>
                <w:kern w:val="0"/>
                <w:sz w:val="18"/>
                <w:szCs w:val="18"/>
              </w:rPr>
            </w:pPr>
          </w:p>
        </w:tc>
      </w:tr>
      <w:tr>
        <w:tblPrEx>
          <w:tblCellMar>
            <w:top w:w="0" w:type="dxa"/>
            <w:left w:w="108" w:type="dxa"/>
            <w:bottom w:w="0" w:type="dxa"/>
            <w:right w:w="108" w:type="dxa"/>
          </w:tblCellMar>
        </w:tblPrEx>
        <w:trPr>
          <w:trHeight w:val="624" w:hRule="atLeast"/>
        </w:trPr>
        <w:tc>
          <w:tcPr>
            <w:tcW w:w="1071"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澧水区</w:t>
            </w:r>
          </w:p>
        </w:tc>
        <w:tc>
          <w:tcPr>
            <w:tcW w:w="108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1042</w:t>
            </w:r>
          </w:p>
        </w:tc>
        <w:tc>
          <w:tcPr>
            <w:tcW w:w="1080"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17.75</w:t>
            </w:r>
          </w:p>
        </w:tc>
        <w:tc>
          <w:tcPr>
            <w:tcW w:w="1140"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p>
        </w:tc>
        <w:tc>
          <w:tcPr>
            <w:tcW w:w="1227"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p>
        </w:tc>
        <w:tc>
          <w:tcPr>
            <w:tcW w:w="942"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p>
        </w:tc>
        <w:tc>
          <w:tcPr>
            <w:tcW w:w="1222"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澧水</w:t>
            </w:r>
          </w:p>
        </w:tc>
        <w:tc>
          <w:tcPr>
            <w:tcW w:w="938"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17.75</w:t>
            </w:r>
          </w:p>
        </w:tc>
      </w:tr>
      <w:tr>
        <w:tblPrEx>
          <w:tblCellMar>
            <w:top w:w="0" w:type="dxa"/>
            <w:left w:w="108" w:type="dxa"/>
            <w:bottom w:w="0" w:type="dxa"/>
            <w:right w:w="108" w:type="dxa"/>
          </w:tblCellMar>
        </w:tblPrEx>
        <w:trPr>
          <w:trHeight w:val="624" w:hRule="atLeast"/>
        </w:trPr>
        <w:tc>
          <w:tcPr>
            <w:tcW w:w="1071" w:type="dxa"/>
            <w:tcBorders>
              <w:top w:val="nil"/>
              <w:left w:val="single" w:color="auto" w:sz="4" w:space="0"/>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全州</w:t>
            </w:r>
          </w:p>
        </w:tc>
        <w:tc>
          <w:tcPr>
            <w:tcW w:w="108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15462</w:t>
            </w:r>
          </w:p>
        </w:tc>
        <w:tc>
          <w:tcPr>
            <w:tcW w:w="1080"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226.81</w:t>
            </w:r>
          </w:p>
        </w:tc>
        <w:tc>
          <w:tcPr>
            <w:tcW w:w="1140"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p>
        </w:tc>
        <w:tc>
          <w:tcPr>
            <w:tcW w:w="1227"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合计</w:t>
            </w:r>
          </w:p>
        </w:tc>
        <w:tc>
          <w:tcPr>
            <w:tcW w:w="942"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140.18</w:t>
            </w:r>
          </w:p>
        </w:tc>
        <w:tc>
          <w:tcPr>
            <w:tcW w:w="1222"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合计</w:t>
            </w:r>
          </w:p>
        </w:tc>
        <w:tc>
          <w:tcPr>
            <w:tcW w:w="938"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355.7</w:t>
            </w:r>
          </w:p>
        </w:tc>
      </w:tr>
    </w:tbl>
    <w:p>
      <w:pPr>
        <w:ind w:firstLine="421" w:firstLineChars="150"/>
        <w:jc w:val="center"/>
        <w:rPr>
          <w:b/>
          <w:color w:val="000000" w:themeColor="text1"/>
          <w:sz w:val="28"/>
          <w:szCs w:val="28"/>
        </w:rPr>
      </w:pPr>
      <w:r>
        <w:rPr>
          <w:rFonts w:hint="eastAsia"/>
          <w:b/>
          <w:color w:val="000000" w:themeColor="text1"/>
          <w:sz w:val="28"/>
          <w:szCs w:val="28"/>
        </w:rPr>
        <w:t>△</w:t>
      </w:r>
      <w:r>
        <w:rPr>
          <w:b/>
          <w:color w:val="000000" w:themeColor="text1"/>
          <w:sz w:val="28"/>
          <w:szCs w:val="28"/>
        </w:rPr>
        <w:t>表</w:t>
      </w:r>
      <w:r>
        <w:rPr>
          <w:rFonts w:hint="eastAsia"/>
          <w:b/>
          <w:color w:val="000000" w:themeColor="text1"/>
          <w:sz w:val="28"/>
          <w:szCs w:val="28"/>
        </w:rPr>
        <w:t>6 2020年全州出入境水量</w:t>
      </w:r>
    </w:p>
    <w:p>
      <w:pPr>
        <w:widowControl/>
        <w:jc w:val="left"/>
        <w:rPr>
          <w:color w:val="000000" w:themeColor="text1"/>
          <w:sz w:val="28"/>
          <w:szCs w:val="28"/>
        </w:rPr>
      </w:pPr>
      <w:r>
        <w:rPr>
          <w:rFonts w:hint="eastAsia"/>
          <w:b/>
          <w:color w:val="000000" w:themeColor="text1"/>
          <w:sz w:val="28"/>
          <w:szCs w:val="28"/>
        </w:rPr>
        <w:drawing>
          <wp:inline distT="0" distB="0" distL="0" distR="0">
            <wp:extent cx="5274310" cy="2857500"/>
            <wp:effectExtent l="19050" t="0" r="2540" b="0"/>
            <wp:docPr id="2" name="图片 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true" noChangeArrowheads="true"/>
                    </pic:cNvPicPr>
                  </pic:nvPicPr>
                  <pic:blipFill>
                    <a:blip r:embed="rId13"/>
                    <a:srcRect/>
                    <a:stretch>
                      <a:fillRect/>
                    </a:stretch>
                  </pic:blipFill>
                  <pic:spPr>
                    <a:xfrm>
                      <a:off x="0" y="0"/>
                      <a:ext cx="5274310" cy="2857500"/>
                    </a:xfrm>
                    <a:prstGeom prst="rect">
                      <a:avLst/>
                    </a:prstGeom>
                    <a:noFill/>
                    <a:ln w="9525">
                      <a:noFill/>
                      <a:miter lim="800000"/>
                      <a:headEnd/>
                      <a:tailEnd/>
                    </a:ln>
                  </pic:spPr>
                </pic:pic>
              </a:graphicData>
            </a:graphic>
          </wp:inline>
        </w:drawing>
      </w:r>
      <w:r>
        <w:rPr>
          <w:color w:val="000000" w:themeColor="text1"/>
          <w:sz w:val="28"/>
          <w:szCs w:val="28"/>
        </w:rPr>
        <w:br w:type="page"/>
      </w:r>
    </w:p>
    <w:p>
      <w:pPr>
        <w:pStyle w:val="2"/>
      </w:pPr>
      <w:bookmarkStart w:id="8" w:name="_Toc90247719"/>
      <w:r>
        <w:rPr>
          <w:rFonts w:hint="eastAsia" w:ascii="黑体" w:eastAsia="黑体"/>
          <w:kern w:val="32"/>
        </w:rPr>
        <w:t>二、蓄水动态</w:t>
      </w:r>
      <w:bookmarkEnd w:id="8"/>
    </w:p>
    <w:p>
      <w:pPr>
        <w:widowControl/>
        <w:ind w:firstLine="560" w:firstLineChars="200"/>
        <w:jc w:val="left"/>
        <w:rPr>
          <w:color w:val="000000" w:themeColor="text1"/>
          <w:sz w:val="28"/>
          <w:szCs w:val="28"/>
        </w:rPr>
      </w:pPr>
      <w:r>
        <w:rPr>
          <w:rFonts w:hint="eastAsia"/>
          <w:color w:val="000000" w:themeColor="text1"/>
          <w:sz w:val="28"/>
          <w:szCs w:val="28"/>
        </w:rPr>
        <w:t>全州有大型水库</w:t>
      </w:r>
      <w:r>
        <w:rPr>
          <w:color w:val="000000" w:themeColor="text1"/>
          <w:sz w:val="28"/>
          <w:szCs w:val="28"/>
        </w:rPr>
        <w:t>1座，中型水库2</w:t>
      </w:r>
      <w:r>
        <w:rPr>
          <w:rFonts w:hint="eastAsia"/>
          <w:color w:val="000000" w:themeColor="text1"/>
          <w:sz w:val="28"/>
          <w:szCs w:val="28"/>
        </w:rPr>
        <w:t>4</w:t>
      </w:r>
      <w:r>
        <w:rPr>
          <w:color w:val="000000" w:themeColor="text1"/>
          <w:sz w:val="28"/>
          <w:szCs w:val="28"/>
        </w:rPr>
        <w:t>座。20</w:t>
      </w:r>
      <w:r>
        <w:rPr>
          <w:rFonts w:hint="eastAsia"/>
          <w:color w:val="000000" w:themeColor="text1"/>
          <w:sz w:val="28"/>
          <w:szCs w:val="28"/>
        </w:rPr>
        <w:t>20</w:t>
      </w:r>
      <w:r>
        <w:rPr>
          <w:color w:val="000000" w:themeColor="text1"/>
          <w:sz w:val="28"/>
          <w:szCs w:val="28"/>
        </w:rPr>
        <w:t>年各类蓄水工程年末蓄水量</w:t>
      </w:r>
      <w:r>
        <w:rPr>
          <w:rFonts w:hint="eastAsia"/>
          <w:color w:val="000000" w:themeColor="text1"/>
          <w:sz w:val="28"/>
          <w:szCs w:val="28"/>
        </w:rPr>
        <w:t>8.49</w:t>
      </w:r>
      <w:r>
        <w:rPr>
          <w:color w:val="000000" w:themeColor="text1"/>
          <w:sz w:val="28"/>
          <w:szCs w:val="28"/>
        </w:rPr>
        <w:t>亿</w:t>
      </w:r>
      <w:r>
        <w:rPr>
          <w:rFonts w:hint="eastAsia"/>
          <w:sz w:val="28"/>
          <w:szCs w:val="28"/>
        </w:rPr>
        <w:t>m</w:t>
      </w:r>
      <w:r>
        <w:rPr>
          <w:rFonts w:hint="eastAsia"/>
          <w:sz w:val="28"/>
          <w:szCs w:val="28"/>
          <w:vertAlign w:val="superscript"/>
        </w:rPr>
        <w:t>3</w:t>
      </w:r>
      <w:r>
        <w:rPr>
          <w:color w:val="000000" w:themeColor="text1"/>
          <w:sz w:val="28"/>
          <w:szCs w:val="28"/>
        </w:rPr>
        <w:t>，比上年末增加</w:t>
      </w:r>
      <w:r>
        <w:rPr>
          <w:rFonts w:hint="eastAsia"/>
          <w:color w:val="000000" w:themeColor="text1"/>
          <w:sz w:val="28"/>
          <w:szCs w:val="28"/>
        </w:rPr>
        <w:t>1.34</w:t>
      </w:r>
      <w:r>
        <w:rPr>
          <w:color w:val="000000" w:themeColor="text1"/>
          <w:sz w:val="28"/>
          <w:szCs w:val="28"/>
        </w:rPr>
        <w:t>亿</w:t>
      </w:r>
      <w:r>
        <w:rPr>
          <w:rFonts w:hint="eastAsia"/>
          <w:sz w:val="28"/>
          <w:szCs w:val="28"/>
        </w:rPr>
        <w:t>m</w:t>
      </w:r>
      <w:r>
        <w:rPr>
          <w:rFonts w:hint="eastAsia"/>
          <w:sz w:val="28"/>
          <w:szCs w:val="28"/>
          <w:vertAlign w:val="superscript"/>
        </w:rPr>
        <w:t>3</w:t>
      </w:r>
      <w:r>
        <w:rPr>
          <w:color w:val="000000" w:themeColor="text1"/>
          <w:sz w:val="28"/>
          <w:szCs w:val="28"/>
        </w:rPr>
        <w:t>，大、中型水库年末蓄水量</w:t>
      </w:r>
      <w:r>
        <w:rPr>
          <w:rFonts w:hint="eastAsia"/>
          <w:color w:val="000000" w:themeColor="text1"/>
          <w:sz w:val="28"/>
          <w:szCs w:val="28"/>
        </w:rPr>
        <w:t>6.26</w:t>
      </w:r>
      <w:r>
        <w:rPr>
          <w:color w:val="000000" w:themeColor="text1"/>
          <w:sz w:val="28"/>
          <w:szCs w:val="28"/>
        </w:rPr>
        <w:t>亿</w:t>
      </w:r>
      <w:r>
        <w:rPr>
          <w:rFonts w:hint="eastAsia"/>
          <w:sz w:val="28"/>
          <w:szCs w:val="28"/>
        </w:rPr>
        <w:t>m</w:t>
      </w:r>
      <w:r>
        <w:rPr>
          <w:rFonts w:hint="eastAsia"/>
          <w:sz w:val="28"/>
          <w:szCs w:val="28"/>
          <w:vertAlign w:val="superscript"/>
        </w:rPr>
        <w:t>3</w:t>
      </w:r>
      <w:r>
        <w:rPr>
          <w:color w:val="000000" w:themeColor="text1"/>
          <w:sz w:val="28"/>
          <w:szCs w:val="28"/>
        </w:rPr>
        <w:t>，比上年末增加</w:t>
      </w:r>
      <w:r>
        <w:rPr>
          <w:rFonts w:hint="eastAsia"/>
          <w:color w:val="000000" w:themeColor="text1"/>
          <w:sz w:val="28"/>
          <w:szCs w:val="28"/>
        </w:rPr>
        <w:t>0.78</w:t>
      </w:r>
      <w:r>
        <w:rPr>
          <w:color w:val="000000" w:themeColor="text1"/>
          <w:sz w:val="28"/>
          <w:szCs w:val="28"/>
        </w:rPr>
        <w:t>亿</w:t>
      </w:r>
      <w:r>
        <w:rPr>
          <w:rFonts w:hint="eastAsia"/>
          <w:sz w:val="28"/>
          <w:szCs w:val="28"/>
        </w:rPr>
        <w:t>m</w:t>
      </w:r>
      <w:r>
        <w:rPr>
          <w:rFonts w:hint="eastAsia"/>
          <w:sz w:val="28"/>
          <w:szCs w:val="28"/>
          <w:vertAlign w:val="superscript"/>
        </w:rPr>
        <w:t>3</w:t>
      </w:r>
      <w:r>
        <w:rPr>
          <w:color w:val="000000" w:themeColor="text1"/>
          <w:sz w:val="28"/>
          <w:szCs w:val="28"/>
        </w:rPr>
        <w:t>。</w:t>
      </w:r>
      <w:r>
        <w:rPr>
          <w:rFonts w:hint="eastAsia"/>
          <w:color w:val="000000" w:themeColor="text1"/>
          <w:sz w:val="28"/>
          <w:szCs w:val="28"/>
        </w:rPr>
        <w:t>2020年末各行政区大中型水库蓄水量与2019年末比较图见</w:t>
      </w:r>
      <w:r>
        <w:rPr>
          <w:color w:val="000000" w:themeColor="text1"/>
          <w:sz w:val="28"/>
          <w:szCs w:val="28"/>
        </w:rPr>
        <w:t>图</w:t>
      </w:r>
      <w:r>
        <w:rPr>
          <w:rFonts w:hint="eastAsia"/>
          <w:color w:val="000000" w:themeColor="text1"/>
          <w:sz w:val="28"/>
          <w:szCs w:val="28"/>
        </w:rPr>
        <w:t>7，各行政分区大中型水库蓄水动态见表7。</w:t>
      </w:r>
    </w:p>
    <w:p>
      <w:pPr>
        <w:widowControl/>
        <w:jc w:val="left"/>
        <w:rPr>
          <w:color w:val="000000" w:themeColor="text1"/>
          <w:sz w:val="28"/>
          <w:szCs w:val="28"/>
        </w:rPr>
      </w:pPr>
      <w:r>
        <w:rPr>
          <w:color w:val="000000" w:themeColor="text1"/>
          <w:sz w:val="28"/>
          <w:szCs w:val="28"/>
        </w:rPr>
        <w:drawing>
          <wp:inline distT="0" distB="0" distL="0" distR="0">
            <wp:extent cx="5274310" cy="2489200"/>
            <wp:effectExtent l="19050" t="0" r="21590" b="6125"/>
            <wp:docPr id="16" name="图表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pPr>
        <w:widowControl/>
        <w:jc w:val="center"/>
        <w:rPr>
          <w:b/>
          <w:color w:val="000000" w:themeColor="text1"/>
          <w:sz w:val="28"/>
          <w:szCs w:val="28"/>
        </w:rPr>
      </w:pPr>
      <w:r>
        <w:rPr>
          <w:rFonts w:hint="eastAsia"/>
          <w:b/>
          <w:color w:val="000000" w:themeColor="text1"/>
          <w:sz w:val="28"/>
          <w:szCs w:val="28"/>
        </w:rPr>
        <w:t>△图7  2020年末各行政区大中型水库蓄水量与2019年末比较图</w:t>
      </w:r>
    </w:p>
    <w:tbl>
      <w:tblPr>
        <w:tblStyle w:val="11"/>
        <w:tblW w:w="8936" w:type="dxa"/>
        <w:tblInd w:w="103" w:type="dxa"/>
        <w:tblLayout w:type="autofit"/>
        <w:tblCellMar>
          <w:top w:w="0" w:type="dxa"/>
          <w:left w:w="108" w:type="dxa"/>
          <w:bottom w:w="0" w:type="dxa"/>
          <w:right w:w="108" w:type="dxa"/>
        </w:tblCellMar>
      </w:tblPr>
      <w:tblGrid>
        <w:gridCol w:w="856"/>
        <w:gridCol w:w="709"/>
        <w:gridCol w:w="992"/>
        <w:gridCol w:w="1134"/>
        <w:gridCol w:w="1134"/>
        <w:gridCol w:w="709"/>
        <w:gridCol w:w="1134"/>
        <w:gridCol w:w="1134"/>
        <w:gridCol w:w="1134"/>
      </w:tblGrid>
      <w:tr>
        <w:tblPrEx>
          <w:tblCellMar>
            <w:top w:w="0" w:type="dxa"/>
            <w:left w:w="108" w:type="dxa"/>
            <w:bottom w:w="0" w:type="dxa"/>
            <w:right w:w="108" w:type="dxa"/>
          </w:tblCellMar>
        </w:tblPrEx>
        <w:trPr>
          <w:trHeight w:val="270" w:hRule="atLeast"/>
        </w:trPr>
        <w:tc>
          <w:tcPr>
            <w:tcW w:w="856"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cs="宋体"/>
                <w:b/>
                <w:bCs/>
                <w:kern w:val="0"/>
                <w:sz w:val="18"/>
                <w:szCs w:val="18"/>
              </w:rPr>
            </w:pPr>
            <w:r>
              <w:rPr>
                <w:rFonts w:hint="eastAsia" w:cs="宋体"/>
                <w:b/>
                <w:bCs/>
                <w:kern w:val="0"/>
                <w:sz w:val="18"/>
                <w:szCs w:val="18"/>
              </w:rPr>
              <w:t>行政  分区</w:t>
            </w:r>
          </w:p>
        </w:tc>
        <w:tc>
          <w:tcPr>
            <w:tcW w:w="3969" w:type="dxa"/>
            <w:gridSpan w:val="4"/>
            <w:tcBorders>
              <w:top w:val="single" w:color="auto" w:sz="4" w:space="0"/>
              <w:left w:val="nil"/>
              <w:bottom w:val="single" w:color="auto" w:sz="4" w:space="0"/>
              <w:right w:val="single" w:color="auto" w:sz="4" w:space="0"/>
            </w:tcBorders>
            <w:shd w:val="clear" w:color="auto" w:fill="auto"/>
            <w:vAlign w:val="center"/>
          </w:tcPr>
          <w:p>
            <w:pPr>
              <w:widowControl/>
              <w:jc w:val="center"/>
              <w:rPr>
                <w:rFonts w:cs="宋体"/>
                <w:b/>
                <w:bCs/>
                <w:kern w:val="0"/>
                <w:sz w:val="18"/>
                <w:szCs w:val="18"/>
              </w:rPr>
            </w:pPr>
            <w:r>
              <w:rPr>
                <w:rFonts w:hint="eastAsia" w:cs="宋体"/>
                <w:b/>
                <w:bCs/>
                <w:kern w:val="0"/>
                <w:sz w:val="18"/>
                <w:szCs w:val="18"/>
              </w:rPr>
              <w:t>大型水库</w:t>
            </w:r>
          </w:p>
        </w:tc>
        <w:tc>
          <w:tcPr>
            <w:tcW w:w="4111" w:type="dxa"/>
            <w:gridSpan w:val="4"/>
            <w:tcBorders>
              <w:top w:val="single" w:color="auto" w:sz="4" w:space="0"/>
              <w:left w:val="nil"/>
              <w:bottom w:val="single" w:color="auto" w:sz="4" w:space="0"/>
              <w:right w:val="single" w:color="auto" w:sz="4" w:space="0"/>
            </w:tcBorders>
            <w:shd w:val="clear" w:color="auto" w:fill="auto"/>
            <w:vAlign w:val="center"/>
          </w:tcPr>
          <w:p>
            <w:pPr>
              <w:widowControl/>
              <w:jc w:val="center"/>
              <w:rPr>
                <w:rFonts w:cs="宋体"/>
                <w:b/>
                <w:bCs/>
                <w:kern w:val="0"/>
                <w:sz w:val="18"/>
                <w:szCs w:val="18"/>
              </w:rPr>
            </w:pPr>
            <w:r>
              <w:rPr>
                <w:rFonts w:hint="eastAsia" w:cs="宋体"/>
                <w:b/>
                <w:bCs/>
                <w:kern w:val="0"/>
                <w:sz w:val="18"/>
                <w:szCs w:val="18"/>
              </w:rPr>
              <w:t>中型水库</w:t>
            </w:r>
          </w:p>
        </w:tc>
      </w:tr>
      <w:tr>
        <w:tblPrEx>
          <w:tblCellMar>
            <w:top w:w="0" w:type="dxa"/>
            <w:left w:w="108" w:type="dxa"/>
            <w:bottom w:w="0" w:type="dxa"/>
            <w:right w:w="108" w:type="dxa"/>
          </w:tblCellMar>
        </w:tblPrEx>
        <w:trPr>
          <w:trHeight w:val="540" w:hRule="atLeast"/>
        </w:trPr>
        <w:tc>
          <w:tcPr>
            <w:tcW w:w="856"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cs="宋体"/>
                <w:b/>
                <w:bCs/>
                <w:kern w:val="0"/>
                <w:sz w:val="18"/>
                <w:szCs w:val="18"/>
              </w:rPr>
            </w:pPr>
          </w:p>
        </w:tc>
        <w:tc>
          <w:tcPr>
            <w:tcW w:w="709" w:type="dxa"/>
            <w:tcBorders>
              <w:top w:val="nil"/>
              <w:left w:val="nil"/>
              <w:bottom w:val="single" w:color="auto" w:sz="4" w:space="0"/>
              <w:right w:val="single" w:color="auto" w:sz="4" w:space="0"/>
            </w:tcBorders>
            <w:shd w:val="clear" w:color="auto" w:fill="auto"/>
            <w:vAlign w:val="center"/>
          </w:tcPr>
          <w:p>
            <w:pPr>
              <w:widowControl/>
              <w:jc w:val="center"/>
              <w:rPr>
                <w:rFonts w:cs="宋体"/>
                <w:b/>
                <w:bCs/>
                <w:kern w:val="0"/>
                <w:sz w:val="18"/>
                <w:szCs w:val="18"/>
              </w:rPr>
            </w:pPr>
            <w:r>
              <w:rPr>
                <w:rFonts w:hint="eastAsia" w:cs="宋体"/>
                <w:b/>
                <w:bCs/>
                <w:kern w:val="0"/>
                <w:sz w:val="18"/>
                <w:szCs w:val="18"/>
              </w:rPr>
              <w:t>座数</w:t>
            </w:r>
          </w:p>
        </w:tc>
        <w:tc>
          <w:tcPr>
            <w:tcW w:w="992" w:type="dxa"/>
            <w:tcBorders>
              <w:top w:val="nil"/>
              <w:left w:val="nil"/>
              <w:bottom w:val="single" w:color="auto" w:sz="4" w:space="0"/>
              <w:right w:val="single" w:color="auto" w:sz="4" w:space="0"/>
            </w:tcBorders>
            <w:shd w:val="clear" w:color="auto" w:fill="auto"/>
            <w:vAlign w:val="center"/>
          </w:tcPr>
          <w:p>
            <w:pPr>
              <w:widowControl/>
              <w:jc w:val="center"/>
              <w:rPr>
                <w:rFonts w:cs="宋体"/>
                <w:b/>
                <w:bCs/>
                <w:kern w:val="0"/>
                <w:sz w:val="18"/>
                <w:szCs w:val="18"/>
              </w:rPr>
            </w:pPr>
            <w:r>
              <w:rPr>
                <w:rFonts w:hint="eastAsia" w:cs="宋体"/>
                <w:b/>
                <w:bCs/>
                <w:kern w:val="0"/>
                <w:sz w:val="18"/>
                <w:szCs w:val="18"/>
              </w:rPr>
              <w:t>2019年末蓄水量</w:t>
            </w:r>
          </w:p>
        </w:tc>
        <w:tc>
          <w:tcPr>
            <w:tcW w:w="1134" w:type="dxa"/>
            <w:tcBorders>
              <w:top w:val="nil"/>
              <w:left w:val="nil"/>
              <w:bottom w:val="single" w:color="auto" w:sz="4" w:space="0"/>
              <w:right w:val="single" w:color="auto" w:sz="4" w:space="0"/>
            </w:tcBorders>
            <w:shd w:val="clear" w:color="auto" w:fill="auto"/>
            <w:vAlign w:val="center"/>
          </w:tcPr>
          <w:p>
            <w:pPr>
              <w:widowControl/>
              <w:jc w:val="center"/>
              <w:rPr>
                <w:rFonts w:cs="宋体"/>
                <w:b/>
                <w:bCs/>
                <w:kern w:val="0"/>
                <w:sz w:val="18"/>
                <w:szCs w:val="18"/>
              </w:rPr>
            </w:pPr>
            <w:r>
              <w:rPr>
                <w:rFonts w:hint="eastAsia" w:cs="宋体"/>
                <w:b/>
                <w:bCs/>
                <w:kern w:val="0"/>
                <w:sz w:val="18"/>
                <w:szCs w:val="18"/>
              </w:rPr>
              <w:t>2020年末蓄水量</w:t>
            </w:r>
          </w:p>
        </w:tc>
        <w:tc>
          <w:tcPr>
            <w:tcW w:w="1134" w:type="dxa"/>
            <w:tcBorders>
              <w:top w:val="nil"/>
              <w:left w:val="nil"/>
              <w:bottom w:val="single" w:color="auto" w:sz="4" w:space="0"/>
              <w:right w:val="single" w:color="auto" w:sz="4" w:space="0"/>
            </w:tcBorders>
            <w:shd w:val="clear" w:color="auto" w:fill="auto"/>
            <w:vAlign w:val="center"/>
          </w:tcPr>
          <w:p>
            <w:pPr>
              <w:widowControl/>
              <w:jc w:val="center"/>
              <w:rPr>
                <w:rFonts w:cs="宋体"/>
                <w:b/>
                <w:bCs/>
                <w:kern w:val="0"/>
                <w:sz w:val="18"/>
                <w:szCs w:val="18"/>
              </w:rPr>
            </w:pPr>
            <w:r>
              <w:rPr>
                <w:rFonts w:hint="eastAsia" w:cs="宋体"/>
                <w:b/>
                <w:bCs/>
                <w:kern w:val="0"/>
                <w:sz w:val="18"/>
                <w:szCs w:val="18"/>
              </w:rPr>
              <w:t>年蓄水变量</w:t>
            </w:r>
          </w:p>
        </w:tc>
        <w:tc>
          <w:tcPr>
            <w:tcW w:w="709" w:type="dxa"/>
            <w:tcBorders>
              <w:top w:val="nil"/>
              <w:left w:val="nil"/>
              <w:bottom w:val="single" w:color="auto" w:sz="4" w:space="0"/>
              <w:right w:val="single" w:color="auto" w:sz="4" w:space="0"/>
            </w:tcBorders>
            <w:shd w:val="clear" w:color="auto" w:fill="auto"/>
            <w:vAlign w:val="center"/>
          </w:tcPr>
          <w:p>
            <w:pPr>
              <w:widowControl/>
              <w:jc w:val="center"/>
              <w:rPr>
                <w:rFonts w:cs="宋体"/>
                <w:b/>
                <w:bCs/>
                <w:kern w:val="0"/>
                <w:sz w:val="18"/>
                <w:szCs w:val="18"/>
              </w:rPr>
            </w:pPr>
            <w:r>
              <w:rPr>
                <w:rFonts w:hint="eastAsia" w:cs="宋体"/>
                <w:b/>
                <w:bCs/>
                <w:kern w:val="0"/>
                <w:sz w:val="18"/>
                <w:szCs w:val="18"/>
              </w:rPr>
              <w:t>座数</w:t>
            </w:r>
          </w:p>
        </w:tc>
        <w:tc>
          <w:tcPr>
            <w:tcW w:w="1134" w:type="dxa"/>
            <w:tcBorders>
              <w:top w:val="nil"/>
              <w:left w:val="nil"/>
              <w:bottom w:val="single" w:color="auto" w:sz="4" w:space="0"/>
              <w:right w:val="single" w:color="auto" w:sz="4" w:space="0"/>
            </w:tcBorders>
            <w:shd w:val="clear" w:color="auto" w:fill="auto"/>
            <w:vAlign w:val="center"/>
          </w:tcPr>
          <w:p>
            <w:pPr>
              <w:widowControl/>
              <w:jc w:val="center"/>
              <w:rPr>
                <w:rFonts w:cs="宋体"/>
                <w:b/>
                <w:bCs/>
                <w:kern w:val="0"/>
                <w:sz w:val="18"/>
                <w:szCs w:val="18"/>
              </w:rPr>
            </w:pPr>
            <w:r>
              <w:rPr>
                <w:rFonts w:hint="eastAsia" w:cs="宋体"/>
                <w:b/>
                <w:bCs/>
                <w:kern w:val="0"/>
                <w:sz w:val="18"/>
                <w:szCs w:val="18"/>
              </w:rPr>
              <w:t>2019年末蓄水量</w:t>
            </w:r>
          </w:p>
        </w:tc>
        <w:tc>
          <w:tcPr>
            <w:tcW w:w="1134" w:type="dxa"/>
            <w:tcBorders>
              <w:top w:val="nil"/>
              <w:left w:val="nil"/>
              <w:bottom w:val="single" w:color="auto" w:sz="4" w:space="0"/>
              <w:right w:val="single" w:color="auto" w:sz="4" w:space="0"/>
            </w:tcBorders>
            <w:shd w:val="clear" w:color="auto" w:fill="auto"/>
            <w:vAlign w:val="center"/>
          </w:tcPr>
          <w:p>
            <w:pPr>
              <w:widowControl/>
              <w:jc w:val="center"/>
              <w:rPr>
                <w:rFonts w:cs="宋体"/>
                <w:b/>
                <w:bCs/>
                <w:kern w:val="0"/>
                <w:sz w:val="18"/>
                <w:szCs w:val="18"/>
              </w:rPr>
            </w:pPr>
            <w:r>
              <w:rPr>
                <w:rFonts w:hint="eastAsia" w:cs="宋体"/>
                <w:b/>
                <w:bCs/>
                <w:kern w:val="0"/>
                <w:sz w:val="18"/>
                <w:szCs w:val="18"/>
              </w:rPr>
              <w:t>2020年末蓄水量</w:t>
            </w:r>
          </w:p>
        </w:tc>
        <w:tc>
          <w:tcPr>
            <w:tcW w:w="1134" w:type="dxa"/>
            <w:tcBorders>
              <w:top w:val="nil"/>
              <w:left w:val="nil"/>
              <w:bottom w:val="single" w:color="auto" w:sz="4" w:space="0"/>
              <w:right w:val="single" w:color="auto" w:sz="4" w:space="0"/>
            </w:tcBorders>
            <w:shd w:val="clear" w:color="auto" w:fill="auto"/>
            <w:vAlign w:val="center"/>
          </w:tcPr>
          <w:p>
            <w:pPr>
              <w:widowControl/>
              <w:jc w:val="center"/>
              <w:rPr>
                <w:rFonts w:cs="宋体"/>
                <w:b/>
                <w:bCs/>
                <w:kern w:val="0"/>
                <w:sz w:val="18"/>
                <w:szCs w:val="18"/>
              </w:rPr>
            </w:pPr>
            <w:r>
              <w:rPr>
                <w:rFonts w:hint="eastAsia" w:cs="宋体"/>
                <w:b/>
                <w:bCs/>
                <w:kern w:val="0"/>
                <w:sz w:val="18"/>
                <w:szCs w:val="18"/>
              </w:rPr>
              <w:t>年蓄水变量</w:t>
            </w:r>
          </w:p>
        </w:tc>
      </w:tr>
      <w:tr>
        <w:tblPrEx>
          <w:tblCellMar>
            <w:top w:w="0" w:type="dxa"/>
            <w:left w:w="108" w:type="dxa"/>
            <w:bottom w:w="0" w:type="dxa"/>
            <w:right w:w="108" w:type="dxa"/>
          </w:tblCellMar>
        </w:tblPrEx>
        <w:trPr>
          <w:trHeight w:val="270" w:hRule="atLeast"/>
        </w:trPr>
        <w:tc>
          <w:tcPr>
            <w:tcW w:w="856" w:type="dxa"/>
            <w:tcBorders>
              <w:top w:val="nil"/>
              <w:left w:val="single" w:color="auto" w:sz="4" w:space="0"/>
              <w:bottom w:val="single" w:color="auto" w:sz="4" w:space="0"/>
              <w:right w:val="single" w:color="auto" w:sz="4" w:space="0"/>
            </w:tcBorders>
            <w:shd w:val="clear" w:color="auto" w:fill="auto"/>
            <w:vAlign w:val="center"/>
          </w:tcPr>
          <w:p>
            <w:pPr>
              <w:widowControl/>
              <w:jc w:val="left"/>
              <w:rPr>
                <w:rFonts w:cs="宋体"/>
                <w:kern w:val="0"/>
                <w:sz w:val="18"/>
                <w:szCs w:val="18"/>
              </w:rPr>
            </w:pPr>
            <w:r>
              <w:rPr>
                <w:rFonts w:hint="eastAsia" w:cs="宋体"/>
                <w:kern w:val="0"/>
                <w:sz w:val="18"/>
                <w:szCs w:val="18"/>
              </w:rPr>
              <w:t>吉首市</w:t>
            </w:r>
          </w:p>
        </w:tc>
        <w:tc>
          <w:tcPr>
            <w:tcW w:w="709" w:type="dxa"/>
            <w:tcBorders>
              <w:top w:val="nil"/>
              <w:left w:val="nil"/>
              <w:bottom w:val="single" w:color="auto" w:sz="4" w:space="0"/>
              <w:right w:val="single" w:color="auto" w:sz="4" w:space="0"/>
            </w:tcBorders>
            <w:shd w:val="clear" w:color="auto" w:fill="auto"/>
            <w:vAlign w:val="center"/>
          </w:tcPr>
          <w:p>
            <w:pPr>
              <w:widowControl/>
              <w:jc w:val="left"/>
              <w:rPr>
                <w:rFonts w:cs="宋体"/>
                <w:kern w:val="0"/>
                <w:sz w:val="18"/>
                <w:szCs w:val="18"/>
              </w:rPr>
            </w:pPr>
            <w:r>
              <w:rPr>
                <w:rFonts w:hint="eastAsia" w:cs="宋体"/>
                <w:kern w:val="0"/>
                <w:sz w:val="18"/>
                <w:szCs w:val="18"/>
              </w:rPr>
              <w:t>　</w:t>
            </w:r>
          </w:p>
        </w:tc>
        <w:tc>
          <w:tcPr>
            <w:tcW w:w="992" w:type="dxa"/>
            <w:tcBorders>
              <w:top w:val="nil"/>
              <w:left w:val="nil"/>
              <w:bottom w:val="single" w:color="auto" w:sz="4" w:space="0"/>
              <w:right w:val="single" w:color="auto" w:sz="4" w:space="0"/>
            </w:tcBorders>
            <w:shd w:val="clear" w:color="auto" w:fill="auto"/>
            <w:vAlign w:val="center"/>
          </w:tcPr>
          <w:p>
            <w:pPr>
              <w:widowControl/>
              <w:jc w:val="left"/>
              <w:rPr>
                <w:rFonts w:cs="宋体"/>
                <w:kern w:val="0"/>
                <w:sz w:val="18"/>
                <w:szCs w:val="18"/>
              </w:rPr>
            </w:pPr>
            <w:r>
              <w:rPr>
                <w:rFonts w:hint="eastAsia" w:cs="宋体"/>
                <w:kern w:val="0"/>
                <w:sz w:val="18"/>
                <w:szCs w:val="18"/>
              </w:rPr>
              <w:t>　</w:t>
            </w:r>
          </w:p>
        </w:tc>
        <w:tc>
          <w:tcPr>
            <w:tcW w:w="1134" w:type="dxa"/>
            <w:tcBorders>
              <w:top w:val="nil"/>
              <w:left w:val="nil"/>
              <w:bottom w:val="single" w:color="auto" w:sz="4" w:space="0"/>
              <w:right w:val="single" w:color="auto" w:sz="4" w:space="0"/>
            </w:tcBorders>
            <w:shd w:val="clear" w:color="auto" w:fill="auto"/>
            <w:vAlign w:val="center"/>
          </w:tcPr>
          <w:p>
            <w:pPr>
              <w:widowControl/>
              <w:jc w:val="left"/>
              <w:rPr>
                <w:rFonts w:cs="宋体"/>
                <w:kern w:val="0"/>
                <w:sz w:val="18"/>
                <w:szCs w:val="18"/>
              </w:rPr>
            </w:pPr>
            <w:r>
              <w:rPr>
                <w:rFonts w:hint="eastAsia" w:cs="宋体"/>
                <w:kern w:val="0"/>
                <w:sz w:val="18"/>
                <w:szCs w:val="18"/>
              </w:rPr>
              <w:t>　</w:t>
            </w:r>
          </w:p>
        </w:tc>
        <w:tc>
          <w:tcPr>
            <w:tcW w:w="1134" w:type="dxa"/>
            <w:tcBorders>
              <w:top w:val="nil"/>
              <w:left w:val="nil"/>
              <w:bottom w:val="single" w:color="auto" w:sz="4" w:space="0"/>
              <w:right w:val="single" w:color="auto" w:sz="4" w:space="0"/>
            </w:tcBorders>
            <w:shd w:val="clear" w:color="auto" w:fill="auto"/>
            <w:vAlign w:val="center"/>
          </w:tcPr>
          <w:p>
            <w:pPr>
              <w:widowControl/>
              <w:jc w:val="left"/>
              <w:rPr>
                <w:rFonts w:cs="宋体"/>
                <w:kern w:val="0"/>
                <w:sz w:val="18"/>
                <w:szCs w:val="18"/>
              </w:rPr>
            </w:pPr>
            <w:r>
              <w:rPr>
                <w:rFonts w:hint="eastAsia" w:cs="宋体"/>
                <w:kern w:val="0"/>
                <w:sz w:val="18"/>
                <w:szCs w:val="18"/>
              </w:rPr>
              <w:t>　</w:t>
            </w:r>
          </w:p>
        </w:tc>
        <w:tc>
          <w:tcPr>
            <w:tcW w:w="709" w:type="dxa"/>
            <w:tcBorders>
              <w:top w:val="nil"/>
              <w:left w:val="nil"/>
              <w:bottom w:val="single" w:color="auto" w:sz="4" w:space="0"/>
              <w:right w:val="single" w:color="auto" w:sz="4" w:space="0"/>
            </w:tcBorders>
            <w:shd w:val="clear" w:color="auto" w:fill="auto"/>
            <w:vAlign w:val="center"/>
          </w:tcPr>
          <w:p>
            <w:pPr>
              <w:widowControl/>
              <w:jc w:val="right"/>
              <w:rPr>
                <w:rFonts w:cs="宋体"/>
                <w:kern w:val="0"/>
                <w:sz w:val="18"/>
                <w:szCs w:val="18"/>
              </w:rPr>
            </w:pPr>
            <w:r>
              <w:rPr>
                <w:rFonts w:hint="eastAsia" w:cs="宋体"/>
                <w:kern w:val="0"/>
                <w:sz w:val="18"/>
                <w:szCs w:val="18"/>
              </w:rPr>
              <w:t>2</w:t>
            </w:r>
          </w:p>
        </w:tc>
        <w:tc>
          <w:tcPr>
            <w:tcW w:w="1134" w:type="dxa"/>
            <w:tcBorders>
              <w:top w:val="nil"/>
              <w:left w:val="nil"/>
              <w:bottom w:val="single" w:color="auto" w:sz="4" w:space="0"/>
              <w:right w:val="single" w:color="auto" w:sz="4" w:space="0"/>
            </w:tcBorders>
            <w:shd w:val="clear" w:color="auto" w:fill="auto"/>
            <w:vAlign w:val="center"/>
          </w:tcPr>
          <w:p>
            <w:pPr>
              <w:widowControl/>
              <w:jc w:val="right"/>
              <w:rPr>
                <w:rFonts w:cs="宋体"/>
                <w:kern w:val="0"/>
                <w:sz w:val="18"/>
                <w:szCs w:val="18"/>
              </w:rPr>
            </w:pPr>
            <w:r>
              <w:rPr>
                <w:rFonts w:hint="eastAsia" w:cs="宋体"/>
                <w:kern w:val="0"/>
                <w:sz w:val="18"/>
                <w:szCs w:val="18"/>
              </w:rPr>
              <w:t>0.22</w:t>
            </w:r>
          </w:p>
        </w:tc>
        <w:tc>
          <w:tcPr>
            <w:tcW w:w="1134" w:type="dxa"/>
            <w:tcBorders>
              <w:top w:val="nil"/>
              <w:left w:val="nil"/>
              <w:bottom w:val="single" w:color="auto" w:sz="4" w:space="0"/>
              <w:right w:val="single" w:color="auto" w:sz="4" w:space="0"/>
            </w:tcBorders>
            <w:shd w:val="clear" w:color="auto" w:fill="auto"/>
            <w:vAlign w:val="center"/>
          </w:tcPr>
          <w:p>
            <w:pPr>
              <w:widowControl/>
              <w:jc w:val="right"/>
              <w:rPr>
                <w:rFonts w:cs="宋体"/>
                <w:kern w:val="0"/>
                <w:sz w:val="18"/>
                <w:szCs w:val="18"/>
              </w:rPr>
            </w:pPr>
            <w:r>
              <w:rPr>
                <w:rFonts w:hint="eastAsia" w:cs="宋体"/>
                <w:kern w:val="0"/>
                <w:sz w:val="18"/>
                <w:szCs w:val="18"/>
              </w:rPr>
              <w:t>0.32</w:t>
            </w:r>
          </w:p>
        </w:tc>
        <w:tc>
          <w:tcPr>
            <w:tcW w:w="1134" w:type="dxa"/>
            <w:tcBorders>
              <w:top w:val="nil"/>
              <w:left w:val="nil"/>
              <w:bottom w:val="single" w:color="auto" w:sz="4" w:space="0"/>
              <w:right w:val="single" w:color="auto" w:sz="4" w:space="0"/>
            </w:tcBorders>
            <w:shd w:val="clear" w:color="auto" w:fill="auto"/>
            <w:vAlign w:val="center"/>
          </w:tcPr>
          <w:p>
            <w:pPr>
              <w:widowControl/>
              <w:jc w:val="right"/>
              <w:rPr>
                <w:rFonts w:cs="宋体"/>
                <w:kern w:val="0"/>
                <w:sz w:val="18"/>
                <w:szCs w:val="18"/>
              </w:rPr>
            </w:pPr>
            <w:r>
              <w:rPr>
                <w:rFonts w:hint="eastAsia" w:cs="宋体"/>
                <w:kern w:val="0"/>
                <w:sz w:val="18"/>
                <w:szCs w:val="18"/>
              </w:rPr>
              <w:t>0.11</w:t>
            </w:r>
          </w:p>
        </w:tc>
      </w:tr>
      <w:tr>
        <w:tblPrEx>
          <w:tblCellMar>
            <w:top w:w="0" w:type="dxa"/>
            <w:left w:w="108" w:type="dxa"/>
            <w:bottom w:w="0" w:type="dxa"/>
            <w:right w:w="108" w:type="dxa"/>
          </w:tblCellMar>
        </w:tblPrEx>
        <w:trPr>
          <w:trHeight w:val="270" w:hRule="atLeast"/>
        </w:trPr>
        <w:tc>
          <w:tcPr>
            <w:tcW w:w="856" w:type="dxa"/>
            <w:tcBorders>
              <w:top w:val="nil"/>
              <w:left w:val="single" w:color="auto" w:sz="4" w:space="0"/>
              <w:bottom w:val="single" w:color="auto" w:sz="4" w:space="0"/>
              <w:right w:val="single" w:color="auto" w:sz="4" w:space="0"/>
            </w:tcBorders>
            <w:shd w:val="clear" w:color="auto" w:fill="auto"/>
            <w:vAlign w:val="center"/>
          </w:tcPr>
          <w:p>
            <w:pPr>
              <w:widowControl/>
              <w:jc w:val="left"/>
              <w:rPr>
                <w:rFonts w:cs="宋体"/>
                <w:kern w:val="0"/>
                <w:sz w:val="18"/>
                <w:szCs w:val="18"/>
              </w:rPr>
            </w:pPr>
            <w:r>
              <w:rPr>
                <w:rFonts w:hint="eastAsia" w:cs="宋体"/>
                <w:kern w:val="0"/>
                <w:sz w:val="18"/>
                <w:szCs w:val="18"/>
              </w:rPr>
              <w:t>泸溪县</w:t>
            </w:r>
          </w:p>
        </w:tc>
        <w:tc>
          <w:tcPr>
            <w:tcW w:w="709" w:type="dxa"/>
            <w:tcBorders>
              <w:top w:val="nil"/>
              <w:left w:val="nil"/>
              <w:bottom w:val="single" w:color="auto" w:sz="4" w:space="0"/>
              <w:right w:val="single" w:color="auto" w:sz="4" w:space="0"/>
            </w:tcBorders>
            <w:shd w:val="clear" w:color="auto" w:fill="auto"/>
            <w:vAlign w:val="center"/>
          </w:tcPr>
          <w:p>
            <w:pPr>
              <w:widowControl/>
              <w:jc w:val="left"/>
              <w:rPr>
                <w:rFonts w:cs="宋体"/>
                <w:kern w:val="0"/>
                <w:sz w:val="18"/>
                <w:szCs w:val="18"/>
              </w:rPr>
            </w:pPr>
            <w:r>
              <w:rPr>
                <w:rFonts w:hint="eastAsia" w:cs="宋体"/>
                <w:kern w:val="0"/>
                <w:sz w:val="18"/>
                <w:szCs w:val="18"/>
              </w:rPr>
              <w:t>　</w:t>
            </w:r>
          </w:p>
        </w:tc>
        <w:tc>
          <w:tcPr>
            <w:tcW w:w="992" w:type="dxa"/>
            <w:tcBorders>
              <w:top w:val="nil"/>
              <w:left w:val="nil"/>
              <w:bottom w:val="single" w:color="auto" w:sz="4" w:space="0"/>
              <w:right w:val="single" w:color="auto" w:sz="4" w:space="0"/>
            </w:tcBorders>
            <w:shd w:val="clear" w:color="auto" w:fill="auto"/>
            <w:vAlign w:val="center"/>
          </w:tcPr>
          <w:p>
            <w:pPr>
              <w:widowControl/>
              <w:jc w:val="left"/>
              <w:rPr>
                <w:rFonts w:cs="宋体"/>
                <w:kern w:val="0"/>
                <w:sz w:val="18"/>
                <w:szCs w:val="18"/>
              </w:rPr>
            </w:pPr>
            <w:r>
              <w:rPr>
                <w:rFonts w:hint="eastAsia" w:cs="宋体"/>
                <w:kern w:val="0"/>
                <w:sz w:val="18"/>
                <w:szCs w:val="18"/>
              </w:rPr>
              <w:t>　</w:t>
            </w:r>
          </w:p>
        </w:tc>
        <w:tc>
          <w:tcPr>
            <w:tcW w:w="1134" w:type="dxa"/>
            <w:tcBorders>
              <w:top w:val="nil"/>
              <w:left w:val="nil"/>
              <w:bottom w:val="single" w:color="auto" w:sz="4" w:space="0"/>
              <w:right w:val="single" w:color="auto" w:sz="4" w:space="0"/>
            </w:tcBorders>
            <w:shd w:val="clear" w:color="auto" w:fill="auto"/>
            <w:vAlign w:val="center"/>
          </w:tcPr>
          <w:p>
            <w:pPr>
              <w:widowControl/>
              <w:jc w:val="left"/>
              <w:rPr>
                <w:rFonts w:cs="宋体"/>
                <w:kern w:val="0"/>
                <w:sz w:val="18"/>
                <w:szCs w:val="18"/>
              </w:rPr>
            </w:pPr>
            <w:r>
              <w:rPr>
                <w:rFonts w:hint="eastAsia" w:cs="宋体"/>
                <w:kern w:val="0"/>
                <w:sz w:val="18"/>
                <w:szCs w:val="18"/>
              </w:rPr>
              <w:t>　</w:t>
            </w:r>
          </w:p>
        </w:tc>
        <w:tc>
          <w:tcPr>
            <w:tcW w:w="1134" w:type="dxa"/>
            <w:tcBorders>
              <w:top w:val="nil"/>
              <w:left w:val="nil"/>
              <w:bottom w:val="single" w:color="auto" w:sz="4" w:space="0"/>
              <w:right w:val="single" w:color="auto" w:sz="4" w:space="0"/>
            </w:tcBorders>
            <w:shd w:val="clear" w:color="auto" w:fill="auto"/>
            <w:vAlign w:val="center"/>
          </w:tcPr>
          <w:p>
            <w:pPr>
              <w:widowControl/>
              <w:jc w:val="left"/>
              <w:rPr>
                <w:rFonts w:cs="宋体"/>
                <w:kern w:val="0"/>
                <w:sz w:val="18"/>
                <w:szCs w:val="18"/>
              </w:rPr>
            </w:pPr>
            <w:r>
              <w:rPr>
                <w:rFonts w:hint="eastAsia" w:cs="宋体"/>
                <w:kern w:val="0"/>
                <w:sz w:val="18"/>
                <w:szCs w:val="18"/>
              </w:rPr>
              <w:t>　</w:t>
            </w:r>
          </w:p>
        </w:tc>
        <w:tc>
          <w:tcPr>
            <w:tcW w:w="709" w:type="dxa"/>
            <w:tcBorders>
              <w:top w:val="nil"/>
              <w:left w:val="nil"/>
              <w:bottom w:val="single" w:color="auto" w:sz="4" w:space="0"/>
              <w:right w:val="single" w:color="auto" w:sz="4" w:space="0"/>
            </w:tcBorders>
            <w:shd w:val="clear" w:color="auto" w:fill="auto"/>
            <w:vAlign w:val="center"/>
          </w:tcPr>
          <w:p>
            <w:pPr>
              <w:widowControl/>
              <w:jc w:val="right"/>
              <w:rPr>
                <w:rFonts w:cs="宋体"/>
                <w:kern w:val="0"/>
                <w:sz w:val="18"/>
                <w:szCs w:val="18"/>
              </w:rPr>
            </w:pPr>
            <w:r>
              <w:rPr>
                <w:rFonts w:hint="eastAsia" w:cs="宋体"/>
                <w:kern w:val="0"/>
                <w:sz w:val="18"/>
                <w:szCs w:val="18"/>
              </w:rPr>
              <w:t>3</w:t>
            </w:r>
          </w:p>
        </w:tc>
        <w:tc>
          <w:tcPr>
            <w:tcW w:w="1134" w:type="dxa"/>
            <w:tcBorders>
              <w:top w:val="nil"/>
              <w:left w:val="nil"/>
              <w:bottom w:val="single" w:color="auto" w:sz="4" w:space="0"/>
              <w:right w:val="single" w:color="auto" w:sz="4" w:space="0"/>
            </w:tcBorders>
            <w:shd w:val="clear" w:color="auto" w:fill="auto"/>
            <w:vAlign w:val="center"/>
          </w:tcPr>
          <w:p>
            <w:pPr>
              <w:widowControl/>
              <w:jc w:val="right"/>
              <w:rPr>
                <w:rFonts w:cs="宋体"/>
                <w:color w:val="000000" w:themeColor="text1"/>
                <w:kern w:val="0"/>
                <w:sz w:val="18"/>
                <w:szCs w:val="18"/>
              </w:rPr>
            </w:pPr>
            <w:r>
              <w:rPr>
                <w:rFonts w:hint="eastAsia" w:cs="宋体"/>
                <w:color w:val="000000" w:themeColor="text1"/>
                <w:kern w:val="0"/>
                <w:sz w:val="18"/>
                <w:szCs w:val="18"/>
              </w:rPr>
              <w:t>0.45</w:t>
            </w:r>
          </w:p>
        </w:tc>
        <w:tc>
          <w:tcPr>
            <w:tcW w:w="1134" w:type="dxa"/>
            <w:tcBorders>
              <w:top w:val="nil"/>
              <w:left w:val="nil"/>
              <w:bottom w:val="single" w:color="auto" w:sz="4" w:space="0"/>
              <w:right w:val="single" w:color="auto" w:sz="4" w:space="0"/>
            </w:tcBorders>
            <w:shd w:val="clear" w:color="auto" w:fill="auto"/>
            <w:vAlign w:val="center"/>
          </w:tcPr>
          <w:p>
            <w:pPr>
              <w:widowControl/>
              <w:jc w:val="right"/>
              <w:rPr>
                <w:rFonts w:cs="宋体"/>
                <w:color w:val="000000" w:themeColor="text1"/>
                <w:kern w:val="0"/>
                <w:sz w:val="18"/>
                <w:szCs w:val="18"/>
              </w:rPr>
            </w:pPr>
            <w:r>
              <w:rPr>
                <w:rFonts w:hint="eastAsia" w:cs="宋体"/>
                <w:color w:val="000000" w:themeColor="text1"/>
                <w:kern w:val="0"/>
                <w:sz w:val="18"/>
                <w:szCs w:val="18"/>
              </w:rPr>
              <w:t>0.5</w:t>
            </w:r>
          </w:p>
        </w:tc>
        <w:tc>
          <w:tcPr>
            <w:tcW w:w="1134" w:type="dxa"/>
            <w:tcBorders>
              <w:top w:val="nil"/>
              <w:left w:val="nil"/>
              <w:bottom w:val="single" w:color="auto" w:sz="4" w:space="0"/>
              <w:right w:val="single" w:color="auto" w:sz="4" w:space="0"/>
            </w:tcBorders>
            <w:shd w:val="clear" w:color="auto" w:fill="auto"/>
            <w:vAlign w:val="center"/>
          </w:tcPr>
          <w:p>
            <w:pPr>
              <w:widowControl/>
              <w:jc w:val="right"/>
              <w:rPr>
                <w:rFonts w:cs="宋体"/>
                <w:kern w:val="0"/>
                <w:sz w:val="18"/>
                <w:szCs w:val="18"/>
              </w:rPr>
            </w:pPr>
            <w:r>
              <w:rPr>
                <w:rFonts w:hint="eastAsia" w:cs="宋体"/>
                <w:kern w:val="0"/>
                <w:sz w:val="18"/>
                <w:szCs w:val="18"/>
              </w:rPr>
              <w:t>0.05</w:t>
            </w:r>
          </w:p>
        </w:tc>
      </w:tr>
      <w:tr>
        <w:tblPrEx>
          <w:tblCellMar>
            <w:top w:w="0" w:type="dxa"/>
            <w:left w:w="108" w:type="dxa"/>
            <w:bottom w:w="0" w:type="dxa"/>
            <w:right w:w="108" w:type="dxa"/>
          </w:tblCellMar>
        </w:tblPrEx>
        <w:trPr>
          <w:trHeight w:val="270" w:hRule="atLeast"/>
        </w:trPr>
        <w:tc>
          <w:tcPr>
            <w:tcW w:w="856" w:type="dxa"/>
            <w:tcBorders>
              <w:top w:val="nil"/>
              <w:left w:val="single" w:color="auto" w:sz="4" w:space="0"/>
              <w:bottom w:val="single" w:color="auto" w:sz="4" w:space="0"/>
              <w:right w:val="single" w:color="auto" w:sz="4" w:space="0"/>
            </w:tcBorders>
            <w:shd w:val="clear" w:color="auto" w:fill="auto"/>
            <w:vAlign w:val="center"/>
          </w:tcPr>
          <w:p>
            <w:pPr>
              <w:widowControl/>
              <w:jc w:val="left"/>
              <w:rPr>
                <w:rFonts w:cs="宋体"/>
                <w:kern w:val="0"/>
                <w:sz w:val="18"/>
                <w:szCs w:val="18"/>
              </w:rPr>
            </w:pPr>
            <w:r>
              <w:rPr>
                <w:rFonts w:hint="eastAsia" w:cs="宋体"/>
                <w:kern w:val="0"/>
                <w:sz w:val="18"/>
                <w:szCs w:val="18"/>
              </w:rPr>
              <w:t>凤凰县</w:t>
            </w:r>
          </w:p>
        </w:tc>
        <w:tc>
          <w:tcPr>
            <w:tcW w:w="709" w:type="dxa"/>
            <w:tcBorders>
              <w:top w:val="nil"/>
              <w:left w:val="nil"/>
              <w:bottom w:val="single" w:color="auto" w:sz="4" w:space="0"/>
              <w:right w:val="single" w:color="auto" w:sz="4" w:space="0"/>
            </w:tcBorders>
            <w:shd w:val="clear" w:color="auto" w:fill="auto"/>
            <w:vAlign w:val="center"/>
          </w:tcPr>
          <w:p>
            <w:pPr>
              <w:widowControl/>
              <w:jc w:val="left"/>
              <w:rPr>
                <w:rFonts w:cs="宋体"/>
                <w:kern w:val="0"/>
                <w:sz w:val="18"/>
                <w:szCs w:val="18"/>
              </w:rPr>
            </w:pPr>
            <w:r>
              <w:rPr>
                <w:rFonts w:hint="eastAsia" w:cs="宋体"/>
                <w:kern w:val="0"/>
                <w:sz w:val="18"/>
                <w:szCs w:val="18"/>
              </w:rPr>
              <w:t>　</w:t>
            </w:r>
          </w:p>
        </w:tc>
        <w:tc>
          <w:tcPr>
            <w:tcW w:w="992" w:type="dxa"/>
            <w:tcBorders>
              <w:top w:val="nil"/>
              <w:left w:val="nil"/>
              <w:bottom w:val="single" w:color="auto" w:sz="4" w:space="0"/>
              <w:right w:val="single" w:color="auto" w:sz="4" w:space="0"/>
            </w:tcBorders>
            <w:shd w:val="clear" w:color="auto" w:fill="auto"/>
            <w:vAlign w:val="center"/>
          </w:tcPr>
          <w:p>
            <w:pPr>
              <w:widowControl/>
              <w:jc w:val="left"/>
              <w:rPr>
                <w:rFonts w:cs="宋体"/>
                <w:kern w:val="0"/>
                <w:sz w:val="18"/>
                <w:szCs w:val="18"/>
              </w:rPr>
            </w:pPr>
            <w:r>
              <w:rPr>
                <w:rFonts w:hint="eastAsia" w:cs="宋体"/>
                <w:kern w:val="0"/>
                <w:sz w:val="18"/>
                <w:szCs w:val="18"/>
              </w:rPr>
              <w:t>　</w:t>
            </w:r>
          </w:p>
        </w:tc>
        <w:tc>
          <w:tcPr>
            <w:tcW w:w="1134" w:type="dxa"/>
            <w:tcBorders>
              <w:top w:val="nil"/>
              <w:left w:val="nil"/>
              <w:bottom w:val="single" w:color="auto" w:sz="4" w:space="0"/>
              <w:right w:val="single" w:color="auto" w:sz="4" w:space="0"/>
            </w:tcBorders>
            <w:shd w:val="clear" w:color="auto" w:fill="auto"/>
            <w:vAlign w:val="center"/>
          </w:tcPr>
          <w:p>
            <w:pPr>
              <w:widowControl/>
              <w:jc w:val="left"/>
              <w:rPr>
                <w:rFonts w:cs="宋体"/>
                <w:kern w:val="0"/>
                <w:sz w:val="18"/>
                <w:szCs w:val="18"/>
              </w:rPr>
            </w:pPr>
            <w:r>
              <w:rPr>
                <w:rFonts w:hint="eastAsia" w:cs="宋体"/>
                <w:kern w:val="0"/>
                <w:sz w:val="18"/>
                <w:szCs w:val="18"/>
              </w:rPr>
              <w:t>　</w:t>
            </w:r>
          </w:p>
        </w:tc>
        <w:tc>
          <w:tcPr>
            <w:tcW w:w="1134" w:type="dxa"/>
            <w:tcBorders>
              <w:top w:val="nil"/>
              <w:left w:val="nil"/>
              <w:bottom w:val="single" w:color="auto" w:sz="4" w:space="0"/>
              <w:right w:val="single" w:color="auto" w:sz="4" w:space="0"/>
            </w:tcBorders>
            <w:shd w:val="clear" w:color="auto" w:fill="auto"/>
            <w:vAlign w:val="center"/>
          </w:tcPr>
          <w:p>
            <w:pPr>
              <w:widowControl/>
              <w:jc w:val="left"/>
              <w:rPr>
                <w:rFonts w:cs="宋体"/>
                <w:kern w:val="0"/>
                <w:sz w:val="18"/>
                <w:szCs w:val="18"/>
              </w:rPr>
            </w:pPr>
            <w:r>
              <w:rPr>
                <w:rFonts w:hint="eastAsia" w:cs="宋体"/>
                <w:kern w:val="0"/>
                <w:sz w:val="18"/>
                <w:szCs w:val="18"/>
              </w:rPr>
              <w:t>　</w:t>
            </w:r>
          </w:p>
        </w:tc>
        <w:tc>
          <w:tcPr>
            <w:tcW w:w="709" w:type="dxa"/>
            <w:tcBorders>
              <w:top w:val="nil"/>
              <w:left w:val="nil"/>
              <w:bottom w:val="single" w:color="auto" w:sz="4" w:space="0"/>
              <w:right w:val="single" w:color="auto" w:sz="4" w:space="0"/>
            </w:tcBorders>
            <w:shd w:val="clear" w:color="auto" w:fill="auto"/>
            <w:vAlign w:val="center"/>
          </w:tcPr>
          <w:p>
            <w:pPr>
              <w:widowControl/>
              <w:jc w:val="right"/>
              <w:rPr>
                <w:rFonts w:cs="宋体"/>
                <w:kern w:val="0"/>
                <w:sz w:val="18"/>
                <w:szCs w:val="18"/>
              </w:rPr>
            </w:pPr>
            <w:r>
              <w:rPr>
                <w:rFonts w:hint="eastAsia" w:cs="宋体"/>
                <w:kern w:val="0"/>
                <w:sz w:val="18"/>
                <w:szCs w:val="18"/>
              </w:rPr>
              <w:t>3</w:t>
            </w:r>
          </w:p>
        </w:tc>
        <w:tc>
          <w:tcPr>
            <w:tcW w:w="1134" w:type="dxa"/>
            <w:tcBorders>
              <w:top w:val="nil"/>
              <w:left w:val="nil"/>
              <w:bottom w:val="single" w:color="auto" w:sz="4" w:space="0"/>
              <w:right w:val="single" w:color="auto" w:sz="4" w:space="0"/>
            </w:tcBorders>
            <w:shd w:val="clear" w:color="auto" w:fill="auto"/>
            <w:vAlign w:val="center"/>
          </w:tcPr>
          <w:p>
            <w:pPr>
              <w:widowControl/>
              <w:jc w:val="right"/>
              <w:rPr>
                <w:rFonts w:cs="宋体"/>
                <w:kern w:val="0"/>
                <w:sz w:val="18"/>
                <w:szCs w:val="18"/>
              </w:rPr>
            </w:pPr>
            <w:r>
              <w:rPr>
                <w:rFonts w:hint="eastAsia" w:cs="宋体"/>
                <w:kern w:val="0"/>
                <w:sz w:val="18"/>
                <w:szCs w:val="18"/>
              </w:rPr>
              <w:t>0.42</w:t>
            </w:r>
          </w:p>
        </w:tc>
        <w:tc>
          <w:tcPr>
            <w:tcW w:w="1134" w:type="dxa"/>
            <w:tcBorders>
              <w:top w:val="nil"/>
              <w:left w:val="nil"/>
              <w:bottom w:val="single" w:color="auto" w:sz="4" w:space="0"/>
              <w:right w:val="single" w:color="auto" w:sz="4" w:space="0"/>
            </w:tcBorders>
            <w:shd w:val="clear" w:color="auto" w:fill="auto"/>
            <w:vAlign w:val="center"/>
          </w:tcPr>
          <w:p>
            <w:pPr>
              <w:widowControl/>
              <w:jc w:val="right"/>
              <w:rPr>
                <w:rFonts w:cs="宋体"/>
                <w:kern w:val="0"/>
                <w:sz w:val="18"/>
                <w:szCs w:val="18"/>
              </w:rPr>
            </w:pPr>
            <w:r>
              <w:rPr>
                <w:rFonts w:hint="eastAsia" w:cs="宋体"/>
                <w:kern w:val="0"/>
                <w:sz w:val="18"/>
                <w:szCs w:val="18"/>
              </w:rPr>
              <w:t>0.69</w:t>
            </w:r>
          </w:p>
        </w:tc>
        <w:tc>
          <w:tcPr>
            <w:tcW w:w="1134" w:type="dxa"/>
            <w:tcBorders>
              <w:top w:val="nil"/>
              <w:left w:val="nil"/>
              <w:bottom w:val="single" w:color="auto" w:sz="4" w:space="0"/>
              <w:right w:val="single" w:color="auto" w:sz="4" w:space="0"/>
            </w:tcBorders>
            <w:shd w:val="clear" w:color="auto" w:fill="auto"/>
            <w:vAlign w:val="center"/>
          </w:tcPr>
          <w:p>
            <w:pPr>
              <w:widowControl/>
              <w:jc w:val="right"/>
              <w:rPr>
                <w:rFonts w:cs="宋体"/>
                <w:kern w:val="0"/>
                <w:sz w:val="18"/>
                <w:szCs w:val="18"/>
              </w:rPr>
            </w:pPr>
            <w:r>
              <w:rPr>
                <w:rFonts w:hint="eastAsia" w:cs="宋体"/>
                <w:kern w:val="0"/>
                <w:sz w:val="18"/>
                <w:szCs w:val="18"/>
              </w:rPr>
              <w:t>0.27</w:t>
            </w:r>
          </w:p>
        </w:tc>
      </w:tr>
      <w:tr>
        <w:tblPrEx>
          <w:tblCellMar>
            <w:top w:w="0" w:type="dxa"/>
            <w:left w:w="108" w:type="dxa"/>
            <w:bottom w:w="0" w:type="dxa"/>
            <w:right w:w="108" w:type="dxa"/>
          </w:tblCellMar>
        </w:tblPrEx>
        <w:trPr>
          <w:trHeight w:val="270" w:hRule="atLeast"/>
        </w:trPr>
        <w:tc>
          <w:tcPr>
            <w:tcW w:w="856" w:type="dxa"/>
            <w:tcBorders>
              <w:top w:val="nil"/>
              <w:left w:val="single" w:color="auto" w:sz="4" w:space="0"/>
              <w:bottom w:val="single" w:color="auto" w:sz="4" w:space="0"/>
              <w:right w:val="single" w:color="auto" w:sz="4" w:space="0"/>
            </w:tcBorders>
            <w:shd w:val="clear" w:color="auto" w:fill="auto"/>
            <w:vAlign w:val="center"/>
          </w:tcPr>
          <w:p>
            <w:pPr>
              <w:widowControl/>
              <w:jc w:val="left"/>
              <w:rPr>
                <w:rFonts w:cs="宋体"/>
                <w:kern w:val="0"/>
                <w:sz w:val="18"/>
                <w:szCs w:val="18"/>
              </w:rPr>
            </w:pPr>
            <w:r>
              <w:rPr>
                <w:rFonts w:hint="eastAsia" w:cs="宋体"/>
                <w:kern w:val="0"/>
                <w:sz w:val="18"/>
                <w:szCs w:val="18"/>
              </w:rPr>
              <w:t>花垣县</w:t>
            </w:r>
          </w:p>
        </w:tc>
        <w:tc>
          <w:tcPr>
            <w:tcW w:w="709" w:type="dxa"/>
            <w:tcBorders>
              <w:top w:val="nil"/>
              <w:left w:val="nil"/>
              <w:bottom w:val="single" w:color="auto" w:sz="4" w:space="0"/>
              <w:right w:val="single" w:color="auto" w:sz="4" w:space="0"/>
            </w:tcBorders>
            <w:shd w:val="clear" w:color="auto" w:fill="auto"/>
            <w:vAlign w:val="center"/>
          </w:tcPr>
          <w:p>
            <w:pPr>
              <w:widowControl/>
              <w:jc w:val="left"/>
              <w:rPr>
                <w:rFonts w:cs="宋体"/>
                <w:kern w:val="0"/>
                <w:sz w:val="18"/>
                <w:szCs w:val="18"/>
              </w:rPr>
            </w:pPr>
            <w:r>
              <w:rPr>
                <w:rFonts w:hint="eastAsia" w:cs="宋体"/>
                <w:kern w:val="0"/>
                <w:sz w:val="18"/>
                <w:szCs w:val="18"/>
              </w:rPr>
              <w:t>　</w:t>
            </w:r>
          </w:p>
        </w:tc>
        <w:tc>
          <w:tcPr>
            <w:tcW w:w="992" w:type="dxa"/>
            <w:tcBorders>
              <w:top w:val="nil"/>
              <w:left w:val="nil"/>
              <w:bottom w:val="single" w:color="auto" w:sz="4" w:space="0"/>
              <w:right w:val="single" w:color="auto" w:sz="4" w:space="0"/>
            </w:tcBorders>
            <w:shd w:val="clear" w:color="auto" w:fill="auto"/>
            <w:vAlign w:val="center"/>
          </w:tcPr>
          <w:p>
            <w:pPr>
              <w:widowControl/>
              <w:jc w:val="left"/>
              <w:rPr>
                <w:rFonts w:cs="宋体"/>
                <w:kern w:val="0"/>
                <w:sz w:val="18"/>
                <w:szCs w:val="18"/>
              </w:rPr>
            </w:pPr>
            <w:r>
              <w:rPr>
                <w:rFonts w:hint="eastAsia" w:cs="宋体"/>
                <w:kern w:val="0"/>
                <w:sz w:val="18"/>
                <w:szCs w:val="18"/>
              </w:rPr>
              <w:t>　</w:t>
            </w:r>
          </w:p>
        </w:tc>
        <w:tc>
          <w:tcPr>
            <w:tcW w:w="1134" w:type="dxa"/>
            <w:tcBorders>
              <w:top w:val="nil"/>
              <w:left w:val="nil"/>
              <w:bottom w:val="single" w:color="auto" w:sz="4" w:space="0"/>
              <w:right w:val="single" w:color="auto" w:sz="4" w:space="0"/>
            </w:tcBorders>
            <w:shd w:val="clear" w:color="auto" w:fill="auto"/>
            <w:vAlign w:val="center"/>
          </w:tcPr>
          <w:p>
            <w:pPr>
              <w:widowControl/>
              <w:jc w:val="left"/>
              <w:rPr>
                <w:rFonts w:cs="宋体"/>
                <w:kern w:val="0"/>
                <w:sz w:val="18"/>
                <w:szCs w:val="18"/>
              </w:rPr>
            </w:pPr>
            <w:r>
              <w:rPr>
                <w:rFonts w:hint="eastAsia" w:cs="宋体"/>
                <w:kern w:val="0"/>
                <w:sz w:val="18"/>
                <w:szCs w:val="18"/>
              </w:rPr>
              <w:t>　</w:t>
            </w:r>
          </w:p>
        </w:tc>
        <w:tc>
          <w:tcPr>
            <w:tcW w:w="1134" w:type="dxa"/>
            <w:tcBorders>
              <w:top w:val="nil"/>
              <w:left w:val="nil"/>
              <w:bottom w:val="single" w:color="auto" w:sz="4" w:space="0"/>
              <w:right w:val="single" w:color="auto" w:sz="4" w:space="0"/>
            </w:tcBorders>
            <w:shd w:val="clear" w:color="auto" w:fill="auto"/>
            <w:vAlign w:val="center"/>
          </w:tcPr>
          <w:p>
            <w:pPr>
              <w:widowControl/>
              <w:jc w:val="left"/>
              <w:rPr>
                <w:rFonts w:cs="宋体"/>
                <w:kern w:val="0"/>
                <w:sz w:val="18"/>
                <w:szCs w:val="18"/>
              </w:rPr>
            </w:pPr>
            <w:r>
              <w:rPr>
                <w:rFonts w:hint="eastAsia" w:cs="宋体"/>
                <w:kern w:val="0"/>
                <w:sz w:val="18"/>
                <w:szCs w:val="18"/>
              </w:rPr>
              <w:t>　</w:t>
            </w:r>
          </w:p>
        </w:tc>
        <w:tc>
          <w:tcPr>
            <w:tcW w:w="709" w:type="dxa"/>
            <w:tcBorders>
              <w:top w:val="nil"/>
              <w:left w:val="nil"/>
              <w:bottom w:val="single" w:color="auto" w:sz="4" w:space="0"/>
              <w:right w:val="single" w:color="auto" w:sz="4" w:space="0"/>
            </w:tcBorders>
            <w:shd w:val="clear" w:color="auto" w:fill="auto"/>
            <w:vAlign w:val="center"/>
          </w:tcPr>
          <w:p>
            <w:pPr>
              <w:widowControl/>
              <w:jc w:val="right"/>
              <w:rPr>
                <w:rFonts w:cs="宋体"/>
                <w:kern w:val="0"/>
                <w:sz w:val="18"/>
                <w:szCs w:val="18"/>
              </w:rPr>
            </w:pPr>
            <w:r>
              <w:rPr>
                <w:rFonts w:hint="eastAsia" w:cs="宋体"/>
                <w:kern w:val="0"/>
                <w:sz w:val="18"/>
                <w:szCs w:val="18"/>
              </w:rPr>
              <w:t>4</w:t>
            </w:r>
          </w:p>
        </w:tc>
        <w:tc>
          <w:tcPr>
            <w:tcW w:w="1134" w:type="dxa"/>
            <w:tcBorders>
              <w:top w:val="nil"/>
              <w:left w:val="nil"/>
              <w:bottom w:val="single" w:color="auto" w:sz="4" w:space="0"/>
              <w:right w:val="single" w:color="auto" w:sz="4" w:space="0"/>
            </w:tcBorders>
            <w:shd w:val="clear" w:color="auto" w:fill="auto"/>
            <w:vAlign w:val="center"/>
          </w:tcPr>
          <w:p>
            <w:pPr>
              <w:widowControl/>
              <w:jc w:val="right"/>
              <w:rPr>
                <w:rFonts w:cs="宋体"/>
                <w:kern w:val="0"/>
                <w:sz w:val="18"/>
                <w:szCs w:val="18"/>
              </w:rPr>
            </w:pPr>
            <w:r>
              <w:rPr>
                <w:rFonts w:hint="eastAsia" w:cs="宋体"/>
                <w:kern w:val="0"/>
                <w:sz w:val="18"/>
                <w:szCs w:val="18"/>
              </w:rPr>
              <w:t>0.52</w:t>
            </w:r>
          </w:p>
        </w:tc>
        <w:tc>
          <w:tcPr>
            <w:tcW w:w="1134" w:type="dxa"/>
            <w:tcBorders>
              <w:top w:val="nil"/>
              <w:left w:val="nil"/>
              <w:bottom w:val="single" w:color="auto" w:sz="4" w:space="0"/>
              <w:right w:val="single" w:color="auto" w:sz="4" w:space="0"/>
            </w:tcBorders>
            <w:shd w:val="clear" w:color="auto" w:fill="auto"/>
            <w:vAlign w:val="center"/>
          </w:tcPr>
          <w:p>
            <w:pPr>
              <w:widowControl/>
              <w:jc w:val="right"/>
              <w:rPr>
                <w:rFonts w:cs="宋体"/>
                <w:kern w:val="0"/>
                <w:sz w:val="18"/>
                <w:szCs w:val="18"/>
              </w:rPr>
            </w:pPr>
            <w:r>
              <w:rPr>
                <w:rFonts w:hint="eastAsia" w:cs="宋体"/>
                <w:kern w:val="0"/>
                <w:sz w:val="18"/>
                <w:szCs w:val="18"/>
              </w:rPr>
              <w:t>0.72</w:t>
            </w:r>
          </w:p>
        </w:tc>
        <w:tc>
          <w:tcPr>
            <w:tcW w:w="1134" w:type="dxa"/>
            <w:tcBorders>
              <w:top w:val="nil"/>
              <w:left w:val="nil"/>
              <w:bottom w:val="single" w:color="auto" w:sz="4" w:space="0"/>
              <w:right w:val="single" w:color="auto" w:sz="4" w:space="0"/>
            </w:tcBorders>
            <w:shd w:val="clear" w:color="auto" w:fill="auto"/>
            <w:vAlign w:val="center"/>
          </w:tcPr>
          <w:p>
            <w:pPr>
              <w:widowControl/>
              <w:jc w:val="right"/>
              <w:rPr>
                <w:rFonts w:cs="宋体"/>
                <w:kern w:val="0"/>
                <w:sz w:val="18"/>
                <w:szCs w:val="18"/>
              </w:rPr>
            </w:pPr>
            <w:r>
              <w:rPr>
                <w:rFonts w:hint="eastAsia" w:cs="宋体"/>
                <w:kern w:val="0"/>
                <w:sz w:val="18"/>
                <w:szCs w:val="18"/>
              </w:rPr>
              <w:t>0.2</w:t>
            </w:r>
          </w:p>
        </w:tc>
      </w:tr>
      <w:tr>
        <w:tblPrEx>
          <w:tblCellMar>
            <w:top w:w="0" w:type="dxa"/>
            <w:left w:w="108" w:type="dxa"/>
            <w:bottom w:w="0" w:type="dxa"/>
            <w:right w:w="108" w:type="dxa"/>
          </w:tblCellMar>
        </w:tblPrEx>
        <w:trPr>
          <w:trHeight w:val="270" w:hRule="atLeast"/>
        </w:trPr>
        <w:tc>
          <w:tcPr>
            <w:tcW w:w="856" w:type="dxa"/>
            <w:tcBorders>
              <w:top w:val="nil"/>
              <w:left w:val="single" w:color="auto" w:sz="4" w:space="0"/>
              <w:bottom w:val="single" w:color="auto" w:sz="4" w:space="0"/>
              <w:right w:val="single" w:color="auto" w:sz="4" w:space="0"/>
            </w:tcBorders>
            <w:shd w:val="clear" w:color="auto" w:fill="auto"/>
            <w:vAlign w:val="center"/>
          </w:tcPr>
          <w:p>
            <w:pPr>
              <w:widowControl/>
              <w:jc w:val="left"/>
              <w:rPr>
                <w:rFonts w:cs="宋体"/>
                <w:kern w:val="0"/>
                <w:sz w:val="18"/>
                <w:szCs w:val="18"/>
              </w:rPr>
            </w:pPr>
            <w:r>
              <w:rPr>
                <w:rFonts w:hint="eastAsia" w:cs="宋体"/>
                <w:kern w:val="0"/>
                <w:sz w:val="18"/>
                <w:szCs w:val="18"/>
              </w:rPr>
              <w:t>保靖县</w:t>
            </w:r>
          </w:p>
        </w:tc>
        <w:tc>
          <w:tcPr>
            <w:tcW w:w="709" w:type="dxa"/>
            <w:tcBorders>
              <w:top w:val="nil"/>
              <w:left w:val="nil"/>
              <w:bottom w:val="single" w:color="auto" w:sz="4" w:space="0"/>
              <w:right w:val="single" w:color="auto" w:sz="4" w:space="0"/>
            </w:tcBorders>
            <w:shd w:val="clear" w:color="auto" w:fill="auto"/>
            <w:vAlign w:val="center"/>
          </w:tcPr>
          <w:p>
            <w:pPr>
              <w:widowControl/>
              <w:jc w:val="right"/>
              <w:rPr>
                <w:rFonts w:cs="宋体"/>
                <w:kern w:val="0"/>
                <w:sz w:val="18"/>
                <w:szCs w:val="18"/>
              </w:rPr>
            </w:pPr>
            <w:r>
              <w:rPr>
                <w:rFonts w:hint="eastAsia" w:cs="宋体"/>
                <w:kern w:val="0"/>
                <w:sz w:val="18"/>
                <w:szCs w:val="18"/>
              </w:rPr>
              <w:t>1</w:t>
            </w:r>
          </w:p>
        </w:tc>
        <w:tc>
          <w:tcPr>
            <w:tcW w:w="992" w:type="dxa"/>
            <w:tcBorders>
              <w:top w:val="nil"/>
              <w:left w:val="nil"/>
              <w:bottom w:val="single" w:color="auto" w:sz="4" w:space="0"/>
              <w:right w:val="single" w:color="auto" w:sz="4" w:space="0"/>
            </w:tcBorders>
            <w:shd w:val="clear" w:color="auto" w:fill="auto"/>
            <w:vAlign w:val="center"/>
          </w:tcPr>
          <w:p>
            <w:pPr>
              <w:widowControl/>
              <w:jc w:val="right"/>
              <w:rPr>
                <w:rFonts w:cs="宋体"/>
                <w:kern w:val="0"/>
                <w:sz w:val="18"/>
                <w:szCs w:val="18"/>
              </w:rPr>
            </w:pPr>
            <w:r>
              <w:rPr>
                <w:rFonts w:hint="eastAsia" w:cs="宋体"/>
                <w:kern w:val="0"/>
                <w:sz w:val="18"/>
                <w:szCs w:val="18"/>
              </w:rPr>
              <w:t>2.2</w:t>
            </w:r>
          </w:p>
        </w:tc>
        <w:tc>
          <w:tcPr>
            <w:tcW w:w="1134" w:type="dxa"/>
            <w:tcBorders>
              <w:top w:val="nil"/>
              <w:left w:val="nil"/>
              <w:bottom w:val="single" w:color="auto" w:sz="4" w:space="0"/>
              <w:right w:val="single" w:color="auto" w:sz="4" w:space="0"/>
            </w:tcBorders>
            <w:shd w:val="clear" w:color="auto" w:fill="auto"/>
            <w:vAlign w:val="center"/>
          </w:tcPr>
          <w:p>
            <w:pPr>
              <w:widowControl/>
              <w:jc w:val="right"/>
              <w:rPr>
                <w:rFonts w:cs="宋体"/>
                <w:kern w:val="0"/>
                <w:sz w:val="18"/>
                <w:szCs w:val="18"/>
              </w:rPr>
            </w:pPr>
            <w:r>
              <w:rPr>
                <w:rFonts w:hint="eastAsia" w:cs="宋体"/>
                <w:kern w:val="0"/>
                <w:sz w:val="18"/>
                <w:szCs w:val="18"/>
              </w:rPr>
              <w:t>2.06</w:t>
            </w:r>
          </w:p>
        </w:tc>
        <w:tc>
          <w:tcPr>
            <w:tcW w:w="1134" w:type="dxa"/>
            <w:tcBorders>
              <w:top w:val="nil"/>
              <w:left w:val="nil"/>
              <w:bottom w:val="single" w:color="auto" w:sz="4" w:space="0"/>
              <w:right w:val="single" w:color="auto" w:sz="4" w:space="0"/>
            </w:tcBorders>
            <w:shd w:val="clear" w:color="auto" w:fill="auto"/>
            <w:vAlign w:val="center"/>
          </w:tcPr>
          <w:p>
            <w:pPr>
              <w:widowControl/>
              <w:jc w:val="right"/>
              <w:rPr>
                <w:rFonts w:cs="宋体"/>
                <w:kern w:val="0"/>
                <w:sz w:val="18"/>
                <w:szCs w:val="18"/>
              </w:rPr>
            </w:pPr>
            <w:r>
              <w:rPr>
                <w:rFonts w:hint="eastAsia" w:cs="宋体"/>
                <w:kern w:val="0"/>
                <w:sz w:val="18"/>
                <w:szCs w:val="18"/>
              </w:rPr>
              <w:t>-0.14</w:t>
            </w:r>
          </w:p>
        </w:tc>
        <w:tc>
          <w:tcPr>
            <w:tcW w:w="709" w:type="dxa"/>
            <w:tcBorders>
              <w:top w:val="nil"/>
              <w:left w:val="nil"/>
              <w:bottom w:val="single" w:color="auto" w:sz="4" w:space="0"/>
              <w:right w:val="single" w:color="auto" w:sz="4" w:space="0"/>
            </w:tcBorders>
            <w:shd w:val="clear" w:color="auto" w:fill="auto"/>
            <w:vAlign w:val="center"/>
          </w:tcPr>
          <w:p>
            <w:pPr>
              <w:widowControl/>
              <w:jc w:val="right"/>
              <w:rPr>
                <w:rFonts w:cs="宋体"/>
                <w:kern w:val="0"/>
                <w:sz w:val="18"/>
                <w:szCs w:val="18"/>
              </w:rPr>
            </w:pPr>
            <w:r>
              <w:rPr>
                <w:rFonts w:hint="eastAsia" w:cs="宋体"/>
                <w:kern w:val="0"/>
                <w:sz w:val="18"/>
                <w:szCs w:val="18"/>
              </w:rPr>
              <w:t>2</w:t>
            </w:r>
          </w:p>
        </w:tc>
        <w:tc>
          <w:tcPr>
            <w:tcW w:w="1134" w:type="dxa"/>
            <w:tcBorders>
              <w:top w:val="nil"/>
              <w:left w:val="nil"/>
              <w:bottom w:val="single" w:color="auto" w:sz="4" w:space="0"/>
              <w:right w:val="single" w:color="auto" w:sz="4" w:space="0"/>
            </w:tcBorders>
            <w:shd w:val="clear" w:color="auto" w:fill="auto"/>
            <w:vAlign w:val="center"/>
          </w:tcPr>
          <w:p>
            <w:pPr>
              <w:widowControl/>
              <w:jc w:val="right"/>
              <w:rPr>
                <w:rFonts w:cs="宋体"/>
                <w:kern w:val="0"/>
                <w:sz w:val="18"/>
                <w:szCs w:val="18"/>
              </w:rPr>
            </w:pPr>
            <w:r>
              <w:rPr>
                <w:rFonts w:hint="eastAsia" w:cs="宋体"/>
                <w:kern w:val="0"/>
                <w:sz w:val="18"/>
                <w:szCs w:val="18"/>
              </w:rPr>
              <w:t>0.18</w:t>
            </w:r>
          </w:p>
        </w:tc>
        <w:tc>
          <w:tcPr>
            <w:tcW w:w="1134" w:type="dxa"/>
            <w:tcBorders>
              <w:top w:val="nil"/>
              <w:left w:val="nil"/>
              <w:bottom w:val="single" w:color="auto" w:sz="4" w:space="0"/>
              <w:right w:val="single" w:color="auto" w:sz="4" w:space="0"/>
            </w:tcBorders>
            <w:shd w:val="clear" w:color="auto" w:fill="auto"/>
            <w:vAlign w:val="center"/>
          </w:tcPr>
          <w:p>
            <w:pPr>
              <w:widowControl/>
              <w:jc w:val="right"/>
              <w:rPr>
                <w:rFonts w:cs="宋体"/>
                <w:kern w:val="0"/>
                <w:sz w:val="18"/>
                <w:szCs w:val="18"/>
              </w:rPr>
            </w:pPr>
            <w:r>
              <w:rPr>
                <w:rFonts w:hint="eastAsia" w:cs="宋体"/>
                <w:kern w:val="0"/>
                <w:sz w:val="18"/>
                <w:szCs w:val="18"/>
              </w:rPr>
              <w:t>0.15</w:t>
            </w:r>
          </w:p>
        </w:tc>
        <w:tc>
          <w:tcPr>
            <w:tcW w:w="1134" w:type="dxa"/>
            <w:tcBorders>
              <w:top w:val="nil"/>
              <w:left w:val="nil"/>
              <w:bottom w:val="single" w:color="auto" w:sz="4" w:space="0"/>
              <w:right w:val="single" w:color="auto" w:sz="4" w:space="0"/>
            </w:tcBorders>
            <w:shd w:val="clear" w:color="auto" w:fill="auto"/>
            <w:vAlign w:val="center"/>
          </w:tcPr>
          <w:p>
            <w:pPr>
              <w:widowControl/>
              <w:jc w:val="right"/>
              <w:rPr>
                <w:rFonts w:cs="宋体"/>
                <w:kern w:val="0"/>
                <w:sz w:val="18"/>
                <w:szCs w:val="18"/>
              </w:rPr>
            </w:pPr>
            <w:r>
              <w:rPr>
                <w:rFonts w:hint="eastAsia" w:cs="宋体"/>
                <w:kern w:val="0"/>
                <w:sz w:val="18"/>
                <w:szCs w:val="18"/>
              </w:rPr>
              <w:t>-0.03</w:t>
            </w:r>
          </w:p>
        </w:tc>
      </w:tr>
      <w:tr>
        <w:tblPrEx>
          <w:tblCellMar>
            <w:top w:w="0" w:type="dxa"/>
            <w:left w:w="108" w:type="dxa"/>
            <w:bottom w:w="0" w:type="dxa"/>
            <w:right w:w="108" w:type="dxa"/>
          </w:tblCellMar>
        </w:tblPrEx>
        <w:trPr>
          <w:trHeight w:val="270" w:hRule="atLeast"/>
        </w:trPr>
        <w:tc>
          <w:tcPr>
            <w:tcW w:w="856" w:type="dxa"/>
            <w:tcBorders>
              <w:top w:val="nil"/>
              <w:left w:val="single" w:color="auto" w:sz="4" w:space="0"/>
              <w:bottom w:val="single" w:color="auto" w:sz="4" w:space="0"/>
              <w:right w:val="single" w:color="auto" w:sz="4" w:space="0"/>
            </w:tcBorders>
            <w:shd w:val="clear" w:color="auto" w:fill="auto"/>
            <w:vAlign w:val="center"/>
          </w:tcPr>
          <w:p>
            <w:pPr>
              <w:widowControl/>
              <w:jc w:val="left"/>
              <w:rPr>
                <w:rFonts w:cs="宋体"/>
                <w:kern w:val="0"/>
                <w:sz w:val="18"/>
                <w:szCs w:val="18"/>
              </w:rPr>
            </w:pPr>
            <w:r>
              <w:rPr>
                <w:rFonts w:hint="eastAsia" w:cs="宋体"/>
                <w:kern w:val="0"/>
                <w:sz w:val="18"/>
                <w:szCs w:val="18"/>
              </w:rPr>
              <w:t>古丈县</w:t>
            </w:r>
          </w:p>
        </w:tc>
        <w:tc>
          <w:tcPr>
            <w:tcW w:w="709" w:type="dxa"/>
            <w:tcBorders>
              <w:top w:val="nil"/>
              <w:left w:val="nil"/>
              <w:bottom w:val="single" w:color="auto" w:sz="4" w:space="0"/>
              <w:right w:val="single" w:color="auto" w:sz="4" w:space="0"/>
            </w:tcBorders>
            <w:shd w:val="clear" w:color="auto" w:fill="auto"/>
            <w:vAlign w:val="center"/>
          </w:tcPr>
          <w:p>
            <w:pPr>
              <w:widowControl/>
              <w:jc w:val="left"/>
              <w:rPr>
                <w:rFonts w:cs="宋体"/>
                <w:kern w:val="0"/>
                <w:sz w:val="18"/>
                <w:szCs w:val="18"/>
              </w:rPr>
            </w:pPr>
            <w:r>
              <w:rPr>
                <w:rFonts w:hint="eastAsia" w:cs="宋体"/>
                <w:kern w:val="0"/>
                <w:sz w:val="18"/>
                <w:szCs w:val="18"/>
              </w:rPr>
              <w:t>　</w:t>
            </w:r>
          </w:p>
        </w:tc>
        <w:tc>
          <w:tcPr>
            <w:tcW w:w="992" w:type="dxa"/>
            <w:tcBorders>
              <w:top w:val="nil"/>
              <w:left w:val="nil"/>
              <w:bottom w:val="single" w:color="auto" w:sz="4" w:space="0"/>
              <w:right w:val="single" w:color="auto" w:sz="4" w:space="0"/>
            </w:tcBorders>
            <w:shd w:val="clear" w:color="auto" w:fill="auto"/>
            <w:vAlign w:val="center"/>
          </w:tcPr>
          <w:p>
            <w:pPr>
              <w:widowControl/>
              <w:jc w:val="left"/>
              <w:rPr>
                <w:rFonts w:cs="宋体"/>
                <w:kern w:val="0"/>
                <w:sz w:val="18"/>
                <w:szCs w:val="18"/>
              </w:rPr>
            </w:pPr>
            <w:r>
              <w:rPr>
                <w:rFonts w:hint="eastAsia" w:cs="宋体"/>
                <w:kern w:val="0"/>
                <w:sz w:val="18"/>
                <w:szCs w:val="18"/>
              </w:rPr>
              <w:t>　</w:t>
            </w:r>
          </w:p>
        </w:tc>
        <w:tc>
          <w:tcPr>
            <w:tcW w:w="1134" w:type="dxa"/>
            <w:tcBorders>
              <w:top w:val="nil"/>
              <w:left w:val="nil"/>
              <w:bottom w:val="single" w:color="auto" w:sz="4" w:space="0"/>
              <w:right w:val="single" w:color="auto" w:sz="4" w:space="0"/>
            </w:tcBorders>
            <w:shd w:val="clear" w:color="auto" w:fill="auto"/>
            <w:vAlign w:val="center"/>
          </w:tcPr>
          <w:p>
            <w:pPr>
              <w:widowControl/>
              <w:jc w:val="left"/>
              <w:rPr>
                <w:rFonts w:cs="宋体"/>
                <w:kern w:val="0"/>
                <w:sz w:val="18"/>
                <w:szCs w:val="18"/>
              </w:rPr>
            </w:pPr>
            <w:r>
              <w:rPr>
                <w:rFonts w:hint="eastAsia" w:cs="宋体"/>
                <w:kern w:val="0"/>
                <w:sz w:val="18"/>
                <w:szCs w:val="18"/>
              </w:rPr>
              <w:t>　</w:t>
            </w:r>
          </w:p>
        </w:tc>
        <w:tc>
          <w:tcPr>
            <w:tcW w:w="1134" w:type="dxa"/>
            <w:tcBorders>
              <w:top w:val="nil"/>
              <w:left w:val="nil"/>
              <w:bottom w:val="single" w:color="auto" w:sz="4" w:space="0"/>
              <w:right w:val="single" w:color="auto" w:sz="4" w:space="0"/>
            </w:tcBorders>
            <w:shd w:val="clear" w:color="auto" w:fill="auto"/>
            <w:vAlign w:val="center"/>
          </w:tcPr>
          <w:p>
            <w:pPr>
              <w:widowControl/>
              <w:jc w:val="left"/>
              <w:rPr>
                <w:rFonts w:cs="宋体"/>
                <w:kern w:val="0"/>
                <w:sz w:val="18"/>
                <w:szCs w:val="18"/>
              </w:rPr>
            </w:pPr>
            <w:r>
              <w:rPr>
                <w:rFonts w:hint="eastAsia" w:cs="宋体"/>
                <w:kern w:val="0"/>
                <w:sz w:val="18"/>
                <w:szCs w:val="18"/>
              </w:rPr>
              <w:t>　</w:t>
            </w:r>
          </w:p>
        </w:tc>
        <w:tc>
          <w:tcPr>
            <w:tcW w:w="709" w:type="dxa"/>
            <w:tcBorders>
              <w:top w:val="nil"/>
              <w:left w:val="nil"/>
              <w:bottom w:val="single" w:color="auto" w:sz="4" w:space="0"/>
              <w:right w:val="single" w:color="auto" w:sz="4" w:space="0"/>
            </w:tcBorders>
            <w:shd w:val="clear" w:color="auto" w:fill="auto"/>
            <w:vAlign w:val="center"/>
          </w:tcPr>
          <w:p>
            <w:pPr>
              <w:widowControl/>
              <w:jc w:val="right"/>
              <w:rPr>
                <w:rFonts w:cs="宋体"/>
                <w:kern w:val="0"/>
                <w:sz w:val="18"/>
                <w:szCs w:val="18"/>
              </w:rPr>
            </w:pPr>
            <w:r>
              <w:rPr>
                <w:rFonts w:hint="eastAsia" w:cs="宋体"/>
                <w:kern w:val="0"/>
                <w:sz w:val="18"/>
                <w:szCs w:val="18"/>
              </w:rPr>
              <w:t>1</w:t>
            </w:r>
          </w:p>
        </w:tc>
        <w:tc>
          <w:tcPr>
            <w:tcW w:w="1134" w:type="dxa"/>
            <w:tcBorders>
              <w:top w:val="nil"/>
              <w:left w:val="nil"/>
              <w:bottom w:val="single" w:color="auto" w:sz="4" w:space="0"/>
              <w:right w:val="single" w:color="auto" w:sz="4" w:space="0"/>
            </w:tcBorders>
            <w:shd w:val="clear" w:color="auto" w:fill="auto"/>
            <w:vAlign w:val="center"/>
          </w:tcPr>
          <w:p>
            <w:pPr>
              <w:widowControl/>
              <w:jc w:val="right"/>
              <w:rPr>
                <w:rFonts w:cs="宋体"/>
                <w:kern w:val="0"/>
                <w:sz w:val="18"/>
                <w:szCs w:val="18"/>
              </w:rPr>
            </w:pPr>
            <w:r>
              <w:rPr>
                <w:rFonts w:hint="eastAsia" w:cs="宋体"/>
                <w:kern w:val="0"/>
                <w:sz w:val="18"/>
                <w:szCs w:val="18"/>
              </w:rPr>
              <w:t>0.14</w:t>
            </w:r>
          </w:p>
        </w:tc>
        <w:tc>
          <w:tcPr>
            <w:tcW w:w="1134" w:type="dxa"/>
            <w:tcBorders>
              <w:top w:val="nil"/>
              <w:left w:val="nil"/>
              <w:bottom w:val="single" w:color="auto" w:sz="4" w:space="0"/>
              <w:right w:val="single" w:color="auto" w:sz="4" w:space="0"/>
            </w:tcBorders>
            <w:shd w:val="clear" w:color="auto" w:fill="auto"/>
            <w:vAlign w:val="center"/>
          </w:tcPr>
          <w:p>
            <w:pPr>
              <w:widowControl/>
              <w:jc w:val="right"/>
              <w:rPr>
                <w:rFonts w:cs="宋体"/>
                <w:kern w:val="0"/>
                <w:sz w:val="18"/>
                <w:szCs w:val="18"/>
              </w:rPr>
            </w:pPr>
            <w:r>
              <w:rPr>
                <w:rFonts w:hint="eastAsia" w:cs="宋体"/>
                <w:kern w:val="0"/>
                <w:sz w:val="18"/>
                <w:szCs w:val="18"/>
              </w:rPr>
              <w:t>0.15</w:t>
            </w:r>
          </w:p>
        </w:tc>
        <w:tc>
          <w:tcPr>
            <w:tcW w:w="1134" w:type="dxa"/>
            <w:tcBorders>
              <w:top w:val="nil"/>
              <w:left w:val="nil"/>
              <w:bottom w:val="single" w:color="auto" w:sz="4" w:space="0"/>
              <w:right w:val="single" w:color="auto" w:sz="4" w:space="0"/>
            </w:tcBorders>
            <w:shd w:val="clear" w:color="auto" w:fill="auto"/>
            <w:vAlign w:val="center"/>
          </w:tcPr>
          <w:p>
            <w:pPr>
              <w:widowControl/>
              <w:jc w:val="right"/>
              <w:rPr>
                <w:rFonts w:cs="宋体"/>
                <w:kern w:val="0"/>
                <w:sz w:val="18"/>
                <w:szCs w:val="18"/>
              </w:rPr>
            </w:pPr>
            <w:r>
              <w:rPr>
                <w:rFonts w:hint="eastAsia" w:cs="宋体"/>
                <w:kern w:val="0"/>
                <w:sz w:val="18"/>
                <w:szCs w:val="18"/>
              </w:rPr>
              <w:t>0.01</w:t>
            </w:r>
          </w:p>
        </w:tc>
      </w:tr>
      <w:tr>
        <w:tblPrEx>
          <w:tblCellMar>
            <w:top w:w="0" w:type="dxa"/>
            <w:left w:w="108" w:type="dxa"/>
            <w:bottom w:w="0" w:type="dxa"/>
            <w:right w:w="108" w:type="dxa"/>
          </w:tblCellMar>
        </w:tblPrEx>
        <w:trPr>
          <w:trHeight w:val="270" w:hRule="atLeast"/>
        </w:trPr>
        <w:tc>
          <w:tcPr>
            <w:tcW w:w="856" w:type="dxa"/>
            <w:tcBorders>
              <w:top w:val="nil"/>
              <w:left w:val="single" w:color="auto" w:sz="4" w:space="0"/>
              <w:bottom w:val="single" w:color="auto" w:sz="4" w:space="0"/>
              <w:right w:val="single" w:color="auto" w:sz="4" w:space="0"/>
            </w:tcBorders>
            <w:shd w:val="clear" w:color="auto" w:fill="auto"/>
            <w:vAlign w:val="center"/>
          </w:tcPr>
          <w:p>
            <w:pPr>
              <w:widowControl/>
              <w:jc w:val="left"/>
              <w:rPr>
                <w:rFonts w:cs="宋体"/>
                <w:kern w:val="0"/>
                <w:sz w:val="18"/>
                <w:szCs w:val="18"/>
              </w:rPr>
            </w:pPr>
            <w:r>
              <w:rPr>
                <w:rFonts w:hint="eastAsia" w:cs="宋体"/>
                <w:kern w:val="0"/>
                <w:sz w:val="18"/>
                <w:szCs w:val="18"/>
              </w:rPr>
              <w:t>永顺县</w:t>
            </w:r>
          </w:p>
        </w:tc>
        <w:tc>
          <w:tcPr>
            <w:tcW w:w="709" w:type="dxa"/>
            <w:tcBorders>
              <w:top w:val="nil"/>
              <w:left w:val="nil"/>
              <w:bottom w:val="single" w:color="auto" w:sz="4" w:space="0"/>
              <w:right w:val="single" w:color="auto" w:sz="4" w:space="0"/>
            </w:tcBorders>
            <w:shd w:val="clear" w:color="auto" w:fill="auto"/>
            <w:vAlign w:val="center"/>
          </w:tcPr>
          <w:p>
            <w:pPr>
              <w:widowControl/>
              <w:jc w:val="left"/>
              <w:rPr>
                <w:rFonts w:cs="宋体"/>
                <w:kern w:val="0"/>
                <w:sz w:val="18"/>
                <w:szCs w:val="18"/>
              </w:rPr>
            </w:pPr>
            <w:r>
              <w:rPr>
                <w:rFonts w:hint="eastAsia" w:cs="宋体"/>
                <w:kern w:val="0"/>
                <w:sz w:val="18"/>
                <w:szCs w:val="18"/>
              </w:rPr>
              <w:t>　</w:t>
            </w:r>
          </w:p>
        </w:tc>
        <w:tc>
          <w:tcPr>
            <w:tcW w:w="992" w:type="dxa"/>
            <w:tcBorders>
              <w:top w:val="nil"/>
              <w:left w:val="nil"/>
              <w:bottom w:val="single" w:color="auto" w:sz="4" w:space="0"/>
              <w:right w:val="single" w:color="auto" w:sz="4" w:space="0"/>
            </w:tcBorders>
            <w:shd w:val="clear" w:color="auto" w:fill="auto"/>
            <w:vAlign w:val="center"/>
          </w:tcPr>
          <w:p>
            <w:pPr>
              <w:widowControl/>
              <w:jc w:val="left"/>
              <w:rPr>
                <w:rFonts w:cs="宋体"/>
                <w:kern w:val="0"/>
                <w:sz w:val="18"/>
                <w:szCs w:val="18"/>
              </w:rPr>
            </w:pPr>
            <w:r>
              <w:rPr>
                <w:rFonts w:hint="eastAsia" w:cs="宋体"/>
                <w:kern w:val="0"/>
                <w:sz w:val="18"/>
                <w:szCs w:val="18"/>
              </w:rPr>
              <w:t>　</w:t>
            </w:r>
          </w:p>
        </w:tc>
        <w:tc>
          <w:tcPr>
            <w:tcW w:w="1134" w:type="dxa"/>
            <w:tcBorders>
              <w:top w:val="nil"/>
              <w:left w:val="nil"/>
              <w:bottom w:val="single" w:color="auto" w:sz="4" w:space="0"/>
              <w:right w:val="single" w:color="auto" w:sz="4" w:space="0"/>
            </w:tcBorders>
            <w:shd w:val="clear" w:color="auto" w:fill="auto"/>
            <w:vAlign w:val="center"/>
          </w:tcPr>
          <w:p>
            <w:pPr>
              <w:widowControl/>
              <w:jc w:val="left"/>
              <w:rPr>
                <w:rFonts w:cs="宋体"/>
                <w:kern w:val="0"/>
                <w:sz w:val="18"/>
                <w:szCs w:val="18"/>
              </w:rPr>
            </w:pPr>
            <w:r>
              <w:rPr>
                <w:rFonts w:hint="eastAsia" w:cs="宋体"/>
                <w:kern w:val="0"/>
                <w:sz w:val="18"/>
                <w:szCs w:val="18"/>
              </w:rPr>
              <w:t>　</w:t>
            </w:r>
          </w:p>
        </w:tc>
        <w:tc>
          <w:tcPr>
            <w:tcW w:w="1134" w:type="dxa"/>
            <w:tcBorders>
              <w:top w:val="nil"/>
              <w:left w:val="nil"/>
              <w:bottom w:val="single" w:color="auto" w:sz="4" w:space="0"/>
              <w:right w:val="single" w:color="auto" w:sz="4" w:space="0"/>
            </w:tcBorders>
            <w:shd w:val="clear" w:color="auto" w:fill="auto"/>
            <w:vAlign w:val="center"/>
          </w:tcPr>
          <w:p>
            <w:pPr>
              <w:widowControl/>
              <w:jc w:val="left"/>
              <w:rPr>
                <w:rFonts w:cs="宋体"/>
                <w:kern w:val="0"/>
                <w:sz w:val="18"/>
                <w:szCs w:val="18"/>
              </w:rPr>
            </w:pPr>
            <w:r>
              <w:rPr>
                <w:rFonts w:hint="eastAsia" w:cs="宋体"/>
                <w:kern w:val="0"/>
                <w:sz w:val="18"/>
                <w:szCs w:val="18"/>
              </w:rPr>
              <w:t>　</w:t>
            </w:r>
          </w:p>
        </w:tc>
        <w:tc>
          <w:tcPr>
            <w:tcW w:w="709" w:type="dxa"/>
            <w:tcBorders>
              <w:top w:val="nil"/>
              <w:left w:val="nil"/>
              <w:bottom w:val="single" w:color="auto" w:sz="4" w:space="0"/>
              <w:right w:val="single" w:color="auto" w:sz="4" w:space="0"/>
            </w:tcBorders>
            <w:shd w:val="clear" w:color="auto" w:fill="auto"/>
            <w:vAlign w:val="center"/>
          </w:tcPr>
          <w:p>
            <w:pPr>
              <w:widowControl/>
              <w:jc w:val="right"/>
              <w:rPr>
                <w:rFonts w:cs="宋体"/>
                <w:kern w:val="0"/>
                <w:sz w:val="18"/>
                <w:szCs w:val="18"/>
              </w:rPr>
            </w:pPr>
            <w:r>
              <w:rPr>
                <w:rFonts w:hint="eastAsia" w:cs="宋体"/>
                <w:kern w:val="0"/>
                <w:sz w:val="18"/>
                <w:szCs w:val="18"/>
              </w:rPr>
              <w:t>5</w:t>
            </w:r>
          </w:p>
        </w:tc>
        <w:tc>
          <w:tcPr>
            <w:tcW w:w="1134" w:type="dxa"/>
            <w:tcBorders>
              <w:top w:val="nil"/>
              <w:left w:val="nil"/>
              <w:bottom w:val="single" w:color="auto" w:sz="4" w:space="0"/>
              <w:right w:val="single" w:color="auto" w:sz="4" w:space="0"/>
            </w:tcBorders>
            <w:shd w:val="clear" w:color="auto" w:fill="auto"/>
            <w:vAlign w:val="center"/>
          </w:tcPr>
          <w:p>
            <w:pPr>
              <w:widowControl/>
              <w:jc w:val="right"/>
              <w:rPr>
                <w:rFonts w:cs="宋体"/>
                <w:kern w:val="0"/>
                <w:sz w:val="18"/>
                <w:szCs w:val="18"/>
              </w:rPr>
            </w:pPr>
            <w:r>
              <w:rPr>
                <w:rFonts w:hint="eastAsia" w:cs="宋体"/>
                <w:kern w:val="0"/>
                <w:sz w:val="18"/>
                <w:szCs w:val="18"/>
              </w:rPr>
              <w:t>0.84</w:t>
            </w:r>
          </w:p>
        </w:tc>
        <w:tc>
          <w:tcPr>
            <w:tcW w:w="1134" w:type="dxa"/>
            <w:tcBorders>
              <w:top w:val="nil"/>
              <w:left w:val="nil"/>
              <w:bottom w:val="single" w:color="auto" w:sz="4" w:space="0"/>
              <w:right w:val="single" w:color="auto" w:sz="4" w:space="0"/>
            </w:tcBorders>
            <w:shd w:val="clear" w:color="auto" w:fill="auto"/>
            <w:vAlign w:val="center"/>
          </w:tcPr>
          <w:p>
            <w:pPr>
              <w:widowControl/>
              <w:jc w:val="right"/>
              <w:rPr>
                <w:rFonts w:cs="宋体"/>
                <w:kern w:val="0"/>
                <w:sz w:val="18"/>
                <w:szCs w:val="18"/>
              </w:rPr>
            </w:pPr>
            <w:r>
              <w:rPr>
                <w:rFonts w:hint="eastAsia" w:cs="宋体"/>
                <w:kern w:val="0"/>
                <w:sz w:val="18"/>
                <w:szCs w:val="18"/>
              </w:rPr>
              <w:t>1.03</w:t>
            </w:r>
          </w:p>
        </w:tc>
        <w:tc>
          <w:tcPr>
            <w:tcW w:w="1134" w:type="dxa"/>
            <w:tcBorders>
              <w:top w:val="nil"/>
              <w:left w:val="nil"/>
              <w:bottom w:val="single" w:color="auto" w:sz="4" w:space="0"/>
              <w:right w:val="single" w:color="auto" w:sz="4" w:space="0"/>
            </w:tcBorders>
            <w:shd w:val="clear" w:color="auto" w:fill="auto"/>
            <w:vAlign w:val="center"/>
          </w:tcPr>
          <w:p>
            <w:pPr>
              <w:widowControl/>
              <w:jc w:val="right"/>
              <w:rPr>
                <w:rFonts w:cs="宋体"/>
                <w:kern w:val="0"/>
                <w:sz w:val="18"/>
                <w:szCs w:val="18"/>
              </w:rPr>
            </w:pPr>
            <w:r>
              <w:rPr>
                <w:rFonts w:hint="eastAsia" w:cs="宋体"/>
                <w:kern w:val="0"/>
                <w:sz w:val="18"/>
                <w:szCs w:val="18"/>
              </w:rPr>
              <w:t>0.2</w:t>
            </w:r>
          </w:p>
        </w:tc>
      </w:tr>
      <w:tr>
        <w:tblPrEx>
          <w:tblCellMar>
            <w:top w:w="0" w:type="dxa"/>
            <w:left w:w="108" w:type="dxa"/>
            <w:bottom w:w="0" w:type="dxa"/>
            <w:right w:w="108" w:type="dxa"/>
          </w:tblCellMar>
        </w:tblPrEx>
        <w:trPr>
          <w:trHeight w:val="270" w:hRule="atLeast"/>
        </w:trPr>
        <w:tc>
          <w:tcPr>
            <w:tcW w:w="856" w:type="dxa"/>
            <w:tcBorders>
              <w:top w:val="nil"/>
              <w:left w:val="single" w:color="auto" w:sz="4" w:space="0"/>
              <w:bottom w:val="single" w:color="auto" w:sz="4" w:space="0"/>
              <w:right w:val="single" w:color="auto" w:sz="4" w:space="0"/>
            </w:tcBorders>
            <w:shd w:val="clear" w:color="auto" w:fill="auto"/>
            <w:vAlign w:val="center"/>
          </w:tcPr>
          <w:p>
            <w:pPr>
              <w:widowControl/>
              <w:jc w:val="left"/>
              <w:rPr>
                <w:rFonts w:cs="宋体"/>
                <w:kern w:val="0"/>
                <w:sz w:val="18"/>
                <w:szCs w:val="18"/>
              </w:rPr>
            </w:pPr>
            <w:r>
              <w:rPr>
                <w:rFonts w:hint="eastAsia" w:cs="宋体"/>
                <w:kern w:val="0"/>
                <w:sz w:val="18"/>
                <w:szCs w:val="18"/>
              </w:rPr>
              <w:t>龙山县</w:t>
            </w:r>
          </w:p>
        </w:tc>
        <w:tc>
          <w:tcPr>
            <w:tcW w:w="709" w:type="dxa"/>
            <w:tcBorders>
              <w:top w:val="nil"/>
              <w:left w:val="nil"/>
              <w:bottom w:val="single" w:color="auto" w:sz="4" w:space="0"/>
              <w:right w:val="single" w:color="auto" w:sz="4" w:space="0"/>
            </w:tcBorders>
            <w:shd w:val="clear" w:color="auto" w:fill="auto"/>
            <w:vAlign w:val="center"/>
          </w:tcPr>
          <w:p>
            <w:pPr>
              <w:widowControl/>
              <w:jc w:val="left"/>
              <w:rPr>
                <w:rFonts w:cs="宋体"/>
                <w:kern w:val="0"/>
                <w:sz w:val="18"/>
                <w:szCs w:val="18"/>
              </w:rPr>
            </w:pPr>
            <w:r>
              <w:rPr>
                <w:rFonts w:hint="eastAsia" w:cs="宋体"/>
                <w:kern w:val="0"/>
                <w:sz w:val="18"/>
                <w:szCs w:val="18"/>
              </w:rPr>
              <w:t>　</w:t>
            </w:r>
          </w:p>
        </w:tc>
        <w:tc>
          <w:tcPr>
            <w:tcW w:w="992" w:type="dxa"/>
            <w:tcBorders>
              <w:top w:val="nil"/>
              <w:left w:val="nil"/>
              <w:bottom w:val="single" w:color="auto" w:sz="4" w:space="0"/>
              <w:right w:val="single" w:color="auto" w:sz="4" w:space="0"/>
            </w:tcBorders>
            <w:shd w:val="clear" w:color="auto" w:fill="auto"/>
            <w:vAlign w:val="center"/>
          </w:tcPr>
          <w:p>
            <w:pPr>
              <w:widowControl/>
              <w:jc w:val="left"/>
              <w:rPr>
                <w:rFonts w:cs="宋体"/>
                <w:kern w:val="0"/>
                <w:sz w:val="18"/>
                <w:szCs w:val="18"/>
              </w:rPr>
            </w:pPr>
            <w:r>
              <w:rPr>
                <w:rFonts w:hint="eastAsia" w:cs="宋体"/>
                <w:kern w:val="0"/>
                <w:sz w:val="18"/>
                <w:szCs w:val="18"/>
              </w:rPr>
              <w:t>　</w:t>
            </w:r>
          </w:p>
        </w:tc>
        <w:tc>
          <w:tcPr>
            <w:tcW w:w="1134" w:type="dxa"/>
            <w:tcBorders>
              <w:top w:val="nil"/>
              <w:left w:val="nil"/>
              <w:bottom w:val="single" w:color="auto" w:sz="4" w:space="0"/>
              <w:right w:val="single" w:color="auto" w:sz="4" w:space="0"/>
            </w:tcBorders>
            <w:shd w:val="clear" w:color="auto" w:fill="auto"/>
            <w:vAlign w:val="center"/>
          </w:tcPr>
          <w:p>
            <w:pPr>
              <w:widowControl/>
              <w:jc w:val="left"/>
              <w:rPr>
                <w:rFonts w:cs="宋体"/>
                <w:kern w:val="0"/>
                <w:sz w:val="18"/>
                <w:szCs w:val="18"/>
              </w:rPr>
            </w:pPr>
            <w:r>
              <w:rPr>
                <w:rFonts w:hint="eastAsia" w:cs="宋体"/>
                <w:kern w:val="0"/>
                <w:sz w:val="18"/>
                <w:szCs w:val="18"/>
              </w:rPr>
              <w:t>　</w:t>
            </w:r>
          </w:p>
        </w:tc>
        <w:tc>
          <w:tcPr>
            <w:tcW w:w="1134" w:type="dxa"/>
            <w:tcBorders>
              <w:top w:val="nil"/>
              <w:left w:val="nil"/>
              <w:bottom w:val="single" w:color="auto" w:sz="4" w:space="0"/>
              <w:right w:val="single" w:color="auto" w:sz="4" w:space="0"/>
            </w:tcBorders>
            <w:shd w:val="clear" w:color="auto" w:fill="auto"/>
            <w:vAlign w:val="center"/>
          </w:tcPr>
          <w:p>
            <w:pPr>
              <w:widowControl/>
              <w:jc w:val="left"/>
              <w:rPr>
                <w:rFonts w:cs="宋体"/>
                <w:kern w:val="0"/>
                <w:sz w:val="18"/>
                <w:szCs w:val="18"/>
              </w:rPr>
            </w:pPr>
            <w:r>
              <w:rPr>
                <w:rFonts w:hint="eastAsia" w:cs="宋体"/>
                <w:kern w:val="0"/>
                <w:sz w:val="18"/>
                <w:szCs w:val="18"/>
              </w:rPr>
              <w:t>　</w:t>
            </w:r>
          </w:p>
        </w:tc>
        <w:tc>
          <w:tcPr>
            <w:tcW w:w="709" w:type="dxa"/>
            <w:tcBorders>
              <w:top w:val="nil"/>
              <w:left w:val="nil"/>
              <w:bottom w:val="single" w:color="auto" w:sz="4" w:space="0"/>
              <w:right w:val="single" w:color="auto" w:sz="4" w:space="0"/>
            </w:tcBorders>
            <w:shd w:val="clear" w:color="auto" w:fill="auto"/>
            <w:vAlign w:val="center"/>
          </w:tcPr>
          <w:p>
            <w:pPr>
              <w:widowControl/>
              <w:jc w:val="right"/>
              <w:rPr>
                <w:rFonts w:cs="宋体"/>
                <w:kern w:val="0"/>
                <w:sz w:val="18"/>
                <w:szCs w:val="18"/>
              </w:rPr>
            </w:pPr>
            <w:r>
              <w:rPr>
                <w:rFonts w:hint="eastAsia" w:cs="宋体"/>
                <w:kern w:val="0"/>
                <w:sz w:val="18"/>
                <w:szCs w:val="18"/>
              </w:rPr>
              <w:t>4</w:t>
            </w:r>
          </w:p>
        </w:tc>
        <w:tc>
          <w:tcPr>
            <w:tcW w:w="1134" w:type="dxa"/>
            <w:tcBorders>
              <w:top w:val="nil"/>
              <w:left w:val="nil"/>
              <w:bottom w:val="single" w:color="auto" w:sz="4" w:space="0"/>
              <w:right w:val="single" w:color="auto" w:sz="4" w:space="0"/>
            </w:tcBorders>
            <w:shd w:val="clear" w:color="auto" w:fill="auto"/>
            <w:vAlign w:val="center"/>
          </w:tcPr>
          <w:p>
            <w:pPr>
              <w:widowControl/>
              <w:jc w:val="right"/>
              <w:rPr>
                <w:rFonts w:cs="宋体"/>
                <w:kern w:val="0"/>
                <w:sz w:val="18"/>
                <w:szCs w:val="18"/>
              </w:rPr>
            </w:pPr>
            <w:r>
              <w:rPr>
                <w:rFonts w:hint="eastAsia" w:cs="宋体"/>
                <w:kern w:val="0"/>
                <w:sz w:val="18"/>
                <w:szCs w:val="18"/>
              </w:rPr>
              <w:t>0.53</w:t>
            </w:r>
          </w:p>
        </w:tc>
        <w:tc>
          <w:tcPr>
            <w:tcW w:w="1134" w:type="dxa"/>
            <w:tcBorders>
              <w:top w:val="nil"/>
              <w:left w:val="nil"/>
              <w:bottom w:val="single" w:color="auto" w:sz="4" w:space="0"/>
              <w:right w:val="single" w:color="auto" w:sz="4" w:space="0"/>
            </w:tcBorders>
            <w:shd w:val="clear" w:color="auto" w:fill="auto"/>
            <w:vAlign w:val="center"/>
          </w:tcPr>
          <w:p>
            <w:pPr>
              <w:widowControl/>
              <w:jc w:val="right"/>
              <w:rPr>
                <w:rFonts w:cs="宋体"/>
                <w:kern w:val="0"/>
                <w:sz w:val="18"/>
                <w:szCs w:val="18"/>
              </w:rPr>
            </w:pPr>
            <w:r>
              <w:rPr>
                <w:rFonts w:hint="eastAsia" w:cs="宋体"/>
                <w:kern w:val="0"/>
                <w:sz w:val="18"/>
                <w:szCs w:val="18"/>
              </w:rPr>
              <w:t>0.64</w:t>
            </w:r>
          </w:p>
        </w:tc>
        <w:tc>
          <w:tcPr>
            <w:tcW w:w="1134" w:type="dxa"/>
            <w:tcBorders>
              <w:top w:val="nil"/>
              <w:left w:val="nil"/>
              <w:bottom w:val="single" w:color="auto" w:sz="4" w:space="0"/>
              <w:right w:val="single" w:color="auto" w:sz="4" w:space="0"/>
            </w:tcBorders>
            <w:shd w:val="clear" w:color="auto" w:fill="auto"/>
            <w:vAlign w:val="center"/>
          </w:tcPr>
          <w:p>
            <w:pPr>
              <w:widowControl/>
              <w:jc w:val="right"/>
              <w:rPr>
                <w:rFonts w:cs="宋体"/>
                <w:kern w:val="0"/>
                <w:sz w:val="18"/>
                <w:szCs w:val="18"/>
              </w:rPr>
            </w:pPr>
            <w:r>
              <w:rPr>
                <w:rFonts w:hint="eastAsia" w:cs="宋体"/>
                <w:kern w:val="0"/>
                <w:sz w:val="18"/>
                <w:szCs w:val="18"/>
              </w:rPr>
              <w:t>0.11</w:t>
            </w:r>
          </w:p>
        </w:tc>
      </w:tr>
      <w:tr>
        <w:tblPrEx>
          <w:tblCellMar>
            <w:top w:w="0" w:type="dxa"/>
            <w:left w:w="108" w:type="dxa"/>
            <w:bottom w:w="0" w:type="dxa"/>
            <w:right w:w="108" w:type="dxa"/>
          </w:tblCellMar>
        </w:tblPrEx>
        <w:trPr>
          <w:trHeight w:val="270" w:hRule="atLeast"/>
        </w:trPr>
        <w:tc>
          <w:tcPr>
            <w:tcW w:w="856" w:type="dxa"/>
            <w:tcBorders>
              <w:top w:val="nil"/>
              <w:left w:val="single" w:color="auto" w:sz="4" w:space="0"/>
              <w:bottom w:val="single" w:color="auto" w:sz="4" w:space="0"/>
              <w:right w:val="single" w:color="auto" w:sz="4" w:space="0"/>
            </w:tcBorders>
            <w:shd w:val="clear" w:color="auto" w:fill="auto"/>
            <w:vAlign w:val="center"/>
          </w:tcPr>
          <w:p>
            <w:pPr>
              <w:widowControl/>
              <w:jc w:val="left"/>
              <w:rPr>
                <w:rFonts w:cs="宋体"/>
                <w:kern w:val="0"/>
                <w:sz w:val="18"/>
                <w:szCs w:val="18"/>
              </w:rPr>
            </w:pPr>
            <w:r>
              <w:rPr>
                <w:rFonts w:hint="eastAsia" w:cs="宋体"/>
                <w:kern w:val="0"/>
                <w:sz w:val="18"/>
                <w:szCs w:val="18"/>
              </w:rPr>
              <w:t>全州</w:t>
            </w:r>
          </w:p>
        </w:tc>
        <w:tc>
          <w:tcPr>
            <w:tcW w:w="709" w:type="dxa"/>
            <w:tcBorders>
              <w:top w:val="nil"/>
              <w:left w:val="nil"/>
              <w:bottom w:val="single" w:color="auto" w:sz="4" w:space="0"/>
              <w:right w:val="single" w:color="auto" w:sz="4" w:space="0"/>
            </w:tcBorders>
            <w:shd w:val="clear" w:color="auto" w:fill="auto"/>
            <w:vAlign w:val="center"/>
          </w:tcPr>
          <w:p>
            <w:pPr>
              <w:widowControl/>
              <w:jc w:val="right"/>
              <w:rPr>
                <w:rFonts w:cs="宋体"/>
                <w:kern w:val="0"/>
                <w:sz w:val="18"/>
                <w:szCs w:val="18"/>
              </w:rPr>
            </w:pPr>
            <w:r>
              <w:rPr>
                <w:rFonts w:hint="eastAsia" w:cs="宋体"/>
                <w:kern w:val="0"/>
                <w:sz w:val="18"/>
                <w:szCs w:val="18"/>
              </w:rPr>
              <w:t>1</w:t>
            </w:r>
          </w:p>
        </w:tc>
        <w:tc>
          <w:tcPr>
            <w:tcW w:w="992" w:type="dxa"/>
            <w:tcBorders>
              <w:top w:val="nil"/>
              <w:left w:val="nil"/>
              <w:bottom w:val="single" w:color="auto" w:sz="4" w:space="0"/>
              <w:right w:val="single" w:color="auto" w:sz="4" w:space="0"/>
            </w:tcBorders>
            <w:shd w:val="clear" w:color="auto" w:fill="auto"/>
            <w:vAlign w:val="center"/>
          </w:tcPr>
          <w:p>
            <w:pPr>
              <w:widowControl/>
              <w:jc w:val="right"/>
              <w:rPr>
                <w:rFonts w:cs="宋体"/>
                <w:kern w:val="0"/>
                <w:sz w:val="18"/>
                <w:szCs w:val="18"/>
              </w:rPr>
            </w:pPr>
            <w:r>
              <w:rPr>
                <w:rFonts w:hint="eastAsia" w:cs="宋体"/>
                <w:kern w:val="0"/>
                <w:sz w:val="18"/>
                <w:szCs w:val="18"/>
              </w:rPr>
              <w:t>2.2</w:t>
            </w:r>
          </w:p>
        </w:tc>
        <w:tc>
          <w:tcPr>
            <w:tcW w:w="1134" w:type="dxa"/>
            <w:tcBorders>
              <w:top w:val="nil"/>
              <w:left w:val="nil"/>
              <w:bottom w:val="single" w:color="auto" w:sz="4" w:space="0"/>
              <w:right w:val="single" w:color="auto" w:sz="4" w:space="0"/>
            </w:tcBorders>
            <w:shd w:val="clear" w:color="auto" w:fill="auto"/>
            <w:vAlign w:val="center"/>
          </w:tcPr>
          <w:p>
            <w:pPr>
              <w:widowControl/>
              <w:jc w:val="right"/>
              <w:rPr>
                <w:rFonts w:cs="宋体"/>
                <w:kern w:val="0"/>
                <w:sz w:val="18"/>
                <w:szCs w:val="18"/>
              </w:rPr>
            </w:pPr>
            <w:r>
              <w:rPr>
                <w:rFonts w:hint="eastAsia" w:cs="宋体"/>
                <w:kern w:val="0"/>
                <w:sz w:val="18"/>
                <w:szCs w:val="18"/>
              </w:rPr>
              <w:t>2.06</w:t>
            </w:r>
          </w:p>
        </w:tc>
        <w:tc>
          <w:tcPr>
            <w:tcW w:w="1134" w:type="dxa"/>
            <w:tcBorders>
              <w:top w:val="nil"/>
              <w:left w:val="nil"/>
              <w:bottom w:val="single" w:color="auto" w:sz="4" w:space="0"/>
              <w:right w:val="single" w:color="auto" w:sz="4" w:space="0"/>
            </w:tcBorders>
            <w:shd w:val="clear" w:color="auto" w:fill="auto"/>
            <w:vAlign w:val="center"/>
          </w:tcPr>
          <w:p>
            <w:pPr>
              <w:widowControl/>
              <w:jc w:val="right"/>
              <w:rPr>
                <w:rFonts w:cs="宋体"/>
                <w:kern w:val="0"/>
                <w:sz w:val="18"/>
                <w:szCs w:val="18"/>
              </w:rPr>
            </w:pPr>
            <w:r>
              <w:rPr>
                <w:rFonts w:hint="eastAsia" w:cs="宋体"/>
                <w:kern w:val="0"/>
                <w:sz w:val="18"/>
                <w:szCs w:val="18"/>
              </w:rPr>
              <w:t>-0.14</w:t>
            </w:r>
          </w:p>
        </w:tc>
        <w:tc>
          <w:tcPr>
            <w:tcW w:w="709" w:type="dxa"/>
            <w:tcBorders>
              <w:top w:val="nil"/>
              <w:left w:val="nil"/>
              <w:bottom w:val="single" w:color="auto" w:sz="4" w:space="0"/>
              <w:right w:val="single" w:color="auto" w:sz="4" w:space="0"/>
            </w:tcBorders>
            <w:shd w:val="clear" w:color="auto" w:fill="auto"/>
            <w:vAlign w:val="center"/>
          </w:tcPr>
          <w:p>
            <w:pPr>
              <w:widowControl/>
              <w:jc w:val="right"/>
              <w:rPr>
                <w:rFonts w:cs="宋体"/>
                <w:kern w:val="0"/>
                <w:sz w:val="18"/>
                <w:szCs w:val="18"/>
              </w:rPr>
            </w:pPr>
            <w:r>
              <w:rPr>
                <w:rFonts w:hint="eastAsia" w:cs="宋体"/>
                <w:kern w:val="0"/>
                <w:sz w:val="18"/>
                <w:szCs w:val="18"/>
              </w:rPr>
              <w:t>24</w:t>
            </w:r>
          </w:p>
        </w:tc>
        <w:tc>
          <w:tcPr>
            <w:tcW w:w="1134" w:type="dxa"/>
            <w:tcBorders>
              <w:top w:val="nil"/>
              <w:left w:val="nil"/>
              <w:bottom w:val="single" w:color="auto" w:sz="4" w:space="0"/>
              <w:right w:val="single" w:color="auto" w:sz="4" w:space="0"/>
            </w:tcBorders>
            <w:shd w:val="clear" w:color="auto" w:fill="auto"/>
            <w:vAlign w:val="center"/>
          </w:tcPr>
          <w:p>
            <w:pPr>
              <w:widowControl/>
              <w:jc w:val="right"/>
              <w:rPr>
                <w:rFonts w:cs="宋体"/>
                <w:kern w:val="0"/>
                <w:sz w:val="18"/>
                <w:szCs w:val="18"/>
              </w:rPr>
            </w:pPr>
            <w:r>
              <w:rPr>
                <w:rFonts w:hint="eastAsia" w:cs="宋体"/>
                <w:kern w:val="0"/>
                <w:sz w:val="18"/>
                <w:szCs w:val="18"/>
              </w:rPr>
              <w:t>3.30</w:t>
            </w:r>
          </w:p>
        </w:tc>
        <w:tc>
          <w:tcPr>
            <w:tcW w:w="1134" w:type="dxa"/>
            <w:tcBorders>
              <w:top w:val="nil"/>
              <w:left w:val="nil"/>
              <w:bottom w:val="single" w:color="auto" w:sz="4" w:space="0"/>
              <w:right w:val="single" w:color="auto" w:sz="4" w:space="0"/>
            </w:tcBorders>
            <w:shd w:val="clear" w:color="auto" w:fill="auto"/>
            <w:vAlign w:val="center"/>
          </w:tcPr>
          <w:p>
            <w:pPr>
              <w:widowControl/>
              <w:jc w:val="right"/>
              <w:rPr>
                <w:rFonts w:cs="宋体"/>
                <w:kern w:val="0"/>
                <w:sz w:val="18"/>
                <w:szCs w:val="18"/>
              </w:rPr>
            </w:pPr>
            <w:r>
              <w:rPr>
                <w:rFonts w:hint="eastAsia" w:cs="宋体"/>
                <w:kern w:val="0"/>
                <w:sz w:val="18"/>
                <w:szCs w:val="18"/>
              </w:rPr>
              <w:t xml:space="preserve">4.20 </w:t>
            </w:r>
          </w:p>
        </w:tc>
        <w:tc>
          <w:tcPr>
            <w:tcW w:w="1134" w:type="dxa"/>
            <w:tcBorders>
              <w:top w:val="nil"/>
              <w:left w:val="nil"/>
              <w:bottom w:val="single" w:color="auto" w:sz="4" w:space="0"/>
              <w:right w:val="single" w:color="auto" w:sz="4" w:space="0"/>
            </w:tcBorders>
            <w:shd w:val="clear" w:color="auto" w:fill="auto"/>
            <w:vAlign w:val="center"/>
          </w:tcPr>
          <w:p>
            <w:pPr>
              <w:widowControl/>
              <w:jc w:val="right"/>
              <w:rPr>
                <w:rFonts w:cs="宋体"/>
                <w:kern w:val="0"/>
                <w:sz w:val="18"/>
                <w:szCs w:val="18"/>
              </w:rPr>
            </w:pPr>
            <w:r>
              <w:rPr>
                <w:rFonts w:hint="eastAsia" w:cs="宋体"/>
                <w:kern w:val="0"/>
                <w:sz w:val="18"/>
                <w:szCs w:val="18"/>
              </w:rPr>
              <w:t>0.92</w:t>
            </w:r>
          </w:p>
        </w:tc>
      </w:tr>
    </w:tbl>
    <w:p>
      <w:pPr>
        <w:widowControl/>
        <w:jc w:val="center"/>
        <w:rPr>
          <w:b/>
          <w:color w:val="000000" w:themeColor="text1"/>
          <w:sz w:val="28"/>
          <w:szCs w:val="28"/>
        </w:rPr>
      </w:pPr>
      <w:r>
        <w:rPr>
          <w:rFonts w:hint="eastAsia"/>
          <w:b/>
          <w:color w:val="000000" w:themeColor="text1"/>
          <w:sz w:val="28"/>
          <w:szCs w:val="28"/>
        </w:rPr>
        <w:t xml:space="preserve">△表7  各行政分区大中型水库蓄水动态     </w:t>
      </w:r>
      <w:r>
        <w:rPr>
          <w:rFonts w:hint="eastAsia"/>
          <w:color w:val="000000" w:themeColor="text1"/>
          <w:sz w:val="28"/>
          <w:szCs w:val="28"/>
        </w:rPr>
        <w:t>单位：亿m</w:t>
      </w:r>
      <w:r>
        <w:rPr>
          <w:rFonts w:hint="eastAsia"/>
          <w:color w:val="000000" w:themeColor="text1"/>
          <w:sz w:val="28"/>
          <w:szCs w:val="28"/>
          <w:vertAlign w:val="superscript"/>
        </w:rPr>
        <w:t>3</w:t>
      </w:r>
    </w:p>
    <w:p>
      <w:pPr>
        <w:widowControl/>
        <w:jc w:val="left"/>
        <w:rPr>
          <w:b/>
          <w:color w:val="000000" w:themeColor="text1"/>
          <w:sz w:val="28"/>
          <w:szCs w:val="28"/>
        </w:rPr>
      </w:pPr>
      <w:r>
        <w:rPr>
          <w:b/>
          <w:color w:val="000000" w:themeColor="text1"/>
          <w:sz w:val="28"/>
          <w:szCs w:val="28"/>
        </w:rPr>
        <w:br w:type="page"/>
      </w:r>
    </w:p>
    <w:p>
      <w:pPr>
        <w:pStyle w:val="2"/>
      </w:pPr>
      <w:bookmarkStart w:id="9" w:name="_Toc90247720"/>
      <w:r>
        <w:rPr>
          <w:rFonts w:hint="eastAsia" w:ascii="黑体" w:eastAsia="黑体"/>
          <w:kern w:val="32"/>
        </w:rPr>
        <w:t>三、供用水量</w:t>
      </w:r>
      <w:bookmarkEnd w:id="9"/>
    </w:p>
    <w:p>
      <w:pPr>
        <w:rPr>
          <w:b/>
          <w:sz w:val="28"/>
          <w:szCs w:val="28"/>
        </w:rPr>
      </w:pPr>
      <w:r>
        <w:rPr>
          <w:rFonts w:hint="eastAsia"/>
          <w:b/>
          <w:sz w:val="28"/>
          <w:szCs w:val="28"/>
        </w:rPr>
        <w:t>（一）供水量</w:t>
      </w:r>
    </w:p>
    <w:p>
      <w:pPr>
        <w:widowControl/>
        <w:ind w:firstLine="560" w:firstLineChars="200"/>
        <w:jc w:val="left"/>
        <w:rPr>
          <w:color w:val="000000" w:themeColor="text1"/>
          <w:sz w:val="28"/>
          <w:szCs w:val="28"/>
        </w:rPr>
      </w:pPr>
      <w:r>
        <w:rPr>
          <w:color w:val="000000" w:themeColor="text1"/>
          <w:sz w:val="28"/>
          <w:szCs w:val="28"/>
        </w:rPr>
        <w:t>20</w:t>
      </w:r>
      <w:r>
        <w:rPr>
          <w:rFonts w:hint="eastAsia"/>
          <w:color w:val="000000" w:themeColor="text1"/>
          <w:sz w:val="28"/>
          <w:szCs w:val="28"/>
        </w:rPr>
        <w:t>20</w:t>
      </w:r>
      <w:r>
        <w:rPr>
          <w:color w:val="000000" w:themeColor="text1"/>
          <w:sz w:val="28"/>
          <w:szCs w:val="28"/>
        </w:rPr>
        <w:t>年全州供水总量</w:t>
      </w:r>
      <w:r>
        <w:rPr>
          <w:rFonts w:hint="eastAsia"/>
          <w:color w:val="000000" w:themeColor="text1"/>
          <w:sz w:val="28"/>
          <w:szCs w:val="28"/>
        </w:rPr>
        <w:t>8.6422</w:t>
      </w:r>
      <w:r>
        <w:rPr>
          <w:color w:val="000000" w:themeColor="text1"/>
          <w:sz w:val="28"/>
          <w:szCs w:val="28"/>
        </w:rPr>
        <w:t>亿</w:t>
      </w:r>
      <w:r>
        <w:rPr>
          <w:rFonts w:hint="eastAsia"/>
          <w:sz w:val="28"/>
          <w:szCs w:val="28"/>
        </w:rPr>
        <w:t>m</w:t>
      </w:r>
      <w:r>
        <w:rPr>
          <w:rFonts w:hint="eastAsia"/>
          <w:sz w:val="28"/>
          <w:szCs w:val="28"/>
          <w:vertAlign w:val="superscript"/>
        </w:rPr>
        <w:t>3</w:t>
      </w:r>
      <w:r>
        <w:rPr>
          <w:color w:val="000000" w:themeColor="text1"/>
          <w:sz w:val="28"/>
          <w:szCs w:val="28"/>
        </w:rPr>
        <w:t>，比上年减少</w:t>
      </w:r>
      <w:r>
        <w:rPr>
          <w:rFonts w:hint="eastAsia"/>
          <w:color w:val="000000" w:themeColor="text1"/>
          <w:sz w:val="28"/>
          <w:szCs w:val="28"/>
        </w:rPr>
        <w:t>0.5351</w:t>
      </w:r>
      <w:r>
        <w:rPr>
          <w:color w:val="000000" w:themeColor="text1"/>
          <w:sz w:val="28"/>
          <w:szCs w:val="28"/>
        </w:rPr>
        <w:t>亿</w:t>
      </w:r>
      <w:r>
        <w:rPr>
          <w:rFonts w:hint="eastAsia"/>
          <w:sz w:val="28"/>
          <w:szCs w:val="28"/>
        </w:rPr>
        <w:t>m</w:t>
      </w:r>
      <w:r>
        <w:rPr>
          <w:rFonts w:hint="eastAsia"/>
          <w:sz w:val="28"/>
          <w:szCs w:val="28"/>
          <w:vertAlign w:val="superscript"/>
        </w:rPr>
        <w:t>3</w:t>
      </w:r>
      <w:r>
        <w:rPr>
          <w:color w:val="000000" w:themeColor="text1"/>
          <w:sz w:val="28"/>
          <w:szCs w:val="28"/>
        </w:rPr>
        <w:t>，其中地表水源供水量</w:t>
      </w:r>
      <w:r>
        <w:rPr>
          <w:rFonts w:hint="eastAsia"/>
          <w:color w:val="000000" w:themeColor="text1"/>
          <w:sz w:val="28"/>
          <w:szCs w:val="28"/>
        </w:rPr>
        <w:t>8.5807</w:t>
      </w:r>
      <w:r>
        <w:rPr>
          <w:color w:val="000000" w:themeColor="text1"/>
          <w:sz w:val="28"/>
          <w:szCs w:val="28"/>
        </w:rPr>
        <w:t>亿</w:t>
      </w:r>
      <w:r>
        <w:rPr>
          <w:rFonts w:hint="eastAsia"/>
          <w:sz w:val="28"/>
          <w:szCs w:val="28"/>
        </w:rPr>
        <w:t>m</w:t>
      </w:r>
      <w:r>
        <w:rPr>
          <w:rFonts w:hint="eastAsia"/>
          <w:sz w:val="28"/>
          <w:szCs w:val="28"/>
          <w:vertAlign w:val="superscript"/>
        </w:rPr>
        <w:t>3</w:t>
      </w:r>
      <w:r>
        <w:rPr>
          <w:color w:val="000000" w:themeColor="text1"/>
          <w:sz w:val="28"/>
          <w:szCs w:val="28"/>
        </w:rPr>
        <w:t>，占总供水量的99.</w:t>
      </w:r>
      <w:r>
        <w:rPr>
          <w:rFonts w:hint="eastAsia"/>
          <w:color w:val="000000" w:themeColor="text1"/>
          <w:sz w:val="28"/>
          <w:szCs w:val="28"/>
        </w:rPr>
        <w:t>29</w:t>
      </w:r>
      <w:r>
        <w:rPr>
          <w:color w:val="000000" w:themeColor="text1"/>
          <w:sz w:val="28"/>
          <w:szCs w:val="28"/>
        </w:rPr>
        <w:t>%，地下水供水量0.0</w:t>
      </w:r>
      <w:r>
        <w:rPr>
          <w:rFonts w:hint="eastAsia"/>
          <w:color w:val="000000" w:themeColor="text1"/>
          <w:sz w:val="28"/>
          <w:szCs w:val="28"/>
        </w:rPr>
        <w:t>615</w:t>
      </w:r>
      <w:r>
        <w:rPr>
          <w:color w:val="000000" w:themeColor="text1"/>
          <w:sz w:val="28"/>
          <w:szCs w:val="28"/>
        </w:rPr>
        <w:t>亿</w:t>
      </w:r>
      <w:r>
        <w:rPr>
          <w:rFonts w:hint="eastAsia"/>
          <w:sz w:val="28"/>
          <w:szCs w:val="28"/>
        </w:rPr>
        <w:t>m</w:t>
      </w:r>
      <w:r>
        <w:rPr>
          <w:rFonts w:hint="eastAsia"/>
          <w:sz w:val="28"/>
          <w:szCs w:val="28"/>
          <w:vertAlign w:val="superscript"/>
        </w:rPr>
        <w:t>3</w:t>
      </w:r>
      <w:r>
        <w:rPr>
          <w:color w:val="000000" w:themeColor="text1"/>
          <w:sz w:val="28"/>
          <w:szCs w:val="28"/>
        </w:rPr>
        <w:t>，占总供水量的0.</w:t>
      </w:r>
      <w:r>
        <w:rPr>
          <w:rFonts w:hint="eastAsia"/>
          <w:color w:val="000000" w:themeColor="text1"/>
          <w:sz w:val="28"/>
          <w:szCs w:val="28"/>
        </w:rPr>
        <w:t>71</w:t>
      </w:r>
      <w:r>
        <w:rPr>
          <w:color w:val="000000" w:themeColor="text1"/>
          <w:sz w:val="28"/>
          <w:szCs w:val="28"/>
        </w:rPr>
        <w:t>%。在地表水供水量中，蓄水、引水、提水分别为4.</w:t>
      </w:r>
      <w:r>
        <w:rPr>
          <w:rFonts w:hint="eastAsia"/>
          <w:color w:val="000000" w:themeColor="text1"/>
          <w:sz w:val="28"/>
          <w:szCs w:val="28"/>
        </w:rPr>
        <w:t>6285</w:t>
      </w:r>
      <w:r>
        <w:rPr>
          <w:color w:val="000000" w:themeColor="text1"/>
          <w:sz w:val="28"/>
          <w:szCs w:val="28"/>
        </w:rPr>
        <w:t>、0.</w:t>
      </w:r>
      <w:r>
        <w:rPr>
          <w:rFonts w:hint="eastAsia"/>
          <w:color w:val="000000" w:themeColor="text1"/>
          <w:sz w:val="28"/>
          <w:szCs w:val="28"/>
        </w:rPr>
        <w:t>464</w:t>
      </w:r>
      <w:r>
        <w:rPr>
          <w:color w:val="000000" w:themeColor="text1"/>
          <w:sz w:val="28"/>
          <w:szCs w:val="28"/>
        </w:rPr>
        <w:t>、3.</w:t>
      </w:r>
      <w:r>
        <w:rPr>
          <w:rFonts w:hint="eastAsia"/>
          <w:color w:val="000000" w:themeColor="text1"/>
          <w:sz w:val="28"/>
          <w:szCs w:val="28"/>
        </w:rPr>
        <w:t>4882</w:t>
      </w:r>
      <w:r>
        <w:rPr>
          <w:color w:val="000000" w:themeColor="text1"/>
          <w:sz w:val="28"/>
          <w:szCs w:val="28"/>
        </w:rPr>
        <w:t>亿</w:t>
      </w:r>
      <w:r>
        <w:rPr>
          <w:rFonts w:hint="eastAsia"/>
          <w:sz w:val="28"/>
          <w:szCs w:val="28"/>
        </w:rPr>
        <w:t>m</w:t>
      </w:r>
      <w:r>
        <w:rPr>
          <w:rFonts w:hint="eastAsia"/>
          <w:sz w:val="28"/>
          <w:szCs w:val="28"/>
          <w:vertAlign w:val="superscript"/>
        </w:rPr>
        <w:t>3</w:t>
      </w:r>
      <w:r>
        <w:rPr>
          <w:color w:val="000000" w:themeColor="text1"/>
          <w:sz w:val="28"/>
          <w:szCs w:val="28"/>
        </w:rPr>
        <w:t>，分别占地表水供水量的5</w:t>
      </w:r>
      <w:r>
        <w:rPr>
          <w:rFonts w:hint="eastAsia"/>
          <w:color w:val="000000" w:themeColor="text1"/>
          <w:sz w:val="28"/>
          <w:szCs w:val="28"/>
        </w:rPr>
        <w:t>3.9</w:t>
      </w:r>
      <w:r>
        <w:rPr>
          <w:color w:val="000000" w:themeColor="text1"/>
          <w:sz w:val="28"/>
          <w:szCs w:val="28"/>
        </w:rPr>
        <w:t>%、5.</w:t>
      </w:r>
      <w:r>
        <w:rPr>
          <w:rFonts w:hint="eastAsia"/>
          <w:color w:val="000000" w:themeColor="text1"/>
          <w:sz w:val="28"/>
          <w:szCs w:val="28"/>
        </w:rPr>
        <w:t>9</w:t>
      </w:r>
      <w:r>
        <w:rPr>
          <w:color w:val="000000" w:themeColor="text1"/>
          <w:sz w:val="28"/>
          <w:szCs w:val="28"/>
        </w:rPr>
        <w:t>%和</w:t>
      </w:r>
      <w:r>
        <w:rPr>
          <w:rFonts w:hint="eastAsia"/>
          <w:color w:val="000000" w:themeColor="text1"/>
          <w:sz w:val="28"/>
          <w:szCs w:val="28"/>
        </w:rPr>
        <w:t>40.7</w:t>
      </w:r>
      <w:r>
        <w:rPr>
          <w:color w:val="000000" w:themeColor="text1"/>
          <w:sz w:val="28"/>
          <w:szCs w:val="28"/>
        </w:rPr>
        <w:t>%。</w:t>
      </w:r>
      <w:r>
        <w:rPr>
          <w:rFonts w:hint="eastAsia"/>
          <w:color w:val="000000" w:themeColor="text1"/>
          <w:sz w:val="28"/>
          <w:szCs w:val="28"/>
        </w:rPr>
        <w:t>2020年各行政区供水量组成图见图8，2020年各行政分区供水量见表8。</w:t>
      </w:r>
    </w:p>
    <w:p>
      <w:pPr>
        <w:ind w:hanging="142"/>
        <w:rPr>
          <w:color w:val="000000" w:themeColor="text1"/>
          <w:sz w:val="28"/>
          <w:szCs w:val="28"/>
        </w:rPr>
      </w:pPr>
      <w:r>
        <w:rPr>
          <w:color w:val="000000" w:themeColor="text1"/>
          <w:sz w:val="28"/>
          <w:szCs w:val="28"/>
        </w:rPr>
        <w:drawing>
          <wp:inline distT="0" distB="0" distL="0" distR="0">
            <wp:extent cx="5274310" cy="2587625"/>
            <wp:effectExtent l="19050" t="0" r="21590" b="3092"/>
            <wp:docPr id="17" name="图表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pPr>
        <w:ind w:hanging="142"/>
        <w:jc w:val="center"/>
        <w:rPr>
          <w:b/>
          <w:color w:val="000000" w:themeColor="text1"/>
          <w:sz w:val="28"/>
          <w:szCs w:val="28"/>
        </w:rPr>
      </w:pPr>
      <w:r>
        <w:rPr>
          <w:rFonts w:hint="eastAsia"/>
          <w:b/>
          <w:color w:val="000000" w:themeColor="text1"/>
          <w:sz w:val="28"/>
          <w:szCs w:val="28"/>
        </w:rPr>
        <w:t>△图8  2020年各行政区供水量</w:t>
      </w:r>
    </w:p>
    <w:tbl>
      <w:tblPr>
        <w:tblStyle w:val="11"/>
        <w:tblW w:w="8936" w:type="dxa"/>
        <w:tblInd w:w="103" w:type="dxa"/>
        <w:tblLayout w:type="fixed"/>
        <w:tblCellMar>
          <w:top w:w="0" w:type="dxa"/>
          <w:left w:w="108" w:type="dxa"/>
          <w:bottom w:w="0" w:type="dxa"/>
          <w:right w:w="108" w:type="dxa"/>
        </w:tblCellMar>
      </w:tblPr>
      <w:tblGrid>
        <w:gridCol w:w="1565"/>
        <w:gridCol w:w="819"/>
        <w:gridCol w:w="819"/>
        <w:gridCol w:w="819"/>
        <w:gridCol w:w="819"/>
        <w:gridCol w:w="819"/>
        <w:gridCol w:w="819"/>
        <w:gridCol w:w="819"/>
        <w:gridCol w:w="819"/>
        <w:gridCol w:w="819"/>
      </w:tblGrid>
      <w:tr>
        <w:tblPrEx>
          <w:tblCellMar>
            <w:top w:w="0" w:type="dxa"/>
            <w:left w:w="108" w:type="dxa"/>
            <w:bottom w:w="0" w:type="dxa"/>
            <w:right w:w="108" w:type="dxa"/>
          </w:tblCellMar>
        </w:tblPrEx>
        <w:trPr>
          <w:trHeight w:val="378" w:hRule="atLeast"/>
        </w:trPr>
        <w:tc>
          <w:tcPr>
            <w:tcW w:w="1565" w:type="dxa"/>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　</w:t>
            </w:r>
          </w:p>
        </w:tc>
        <w:tc>
          <w:tcPr>
            <w:tcW w:w="819" w:type="dxa"/>
            <w:tcBorders>
              <w:top w:val="single" w:color="auto" w:sz="4" w:space="0"/>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吉首市</w:t>
            </w:r>
          </w:p>
        </w:tc>
        <w:tc>
          <w:tcPr>
            <w:tcW w:w="819" w:type="dxa"/>
            <w:tcBorders>
              <w:top w:val="single" w:color="auto" w:sz="4" w:space="0"/>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泸溪县</w:t>
            </w:r>
          </w:p>
        </w:tc>
        <w:tc>
          <w:tcPr>
            <w:tcW w:w="819" w:type="dxa"/>
            <w:tcBorders>
              <w:top w:val="single" w:color="auto" w:sz="4" w:space="0"/>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凤凰县</w:t>
            </w:r>
          </w:p>
        </w:tc>
        <w:tc>
          <w:tcPr>
            <w:tcW w:w="819" w:type="dxa"/>
            <w:tcBorders>
              <w:top w:val="single" w:color="auto" w:sz="4" w:space="0"/>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花垣县</w:t>
            </w:r>
          </w:p>
        </w:tc>
        <w:tc>
          <w:tcPr>
            <w:tcW w:w="819" w:type="dxa"/>
            <w:tcBorders>
              <w:top w:val="single" w:color="auto" w:sz="4" w:space="0"/>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保靖县</w:t>
            </w:r>
          </w:p>
        </w:tc>
        <w:tc>
          <w:tcPr>
            <w:tcW w:w="819" w:type="dxa"/>
            <w:tcBorders>
              <w:top w:val="single" w:color="auto" w:sz="4" w:space="0"/>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古丈县</w:t>
            </w:r>
          </w:p>
        </w:tc>
        <w:tc>
          <w:tcPr>
            <w:tcW w:w="819" w:type="dxa"/>
            <w:tcBorders>
              <w:top w:val="single" w:color="auto" w:sz="4" w:space="0"/>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永顺县</w:t>
            </w:r>
          </w:p>
        </w:tc>
        <w:tc>
          <w:tcPr>
            <w:tcW w:w="819" w:type="dxa"/>
            <w:tcBorders>
              <w:top w:val="single" w:color="auto" w:sz="4" w:space="0"/>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龙山县</w:t>
            </w:r>
          </w:p>
        </w:tc>
        <w:tc>
          <w:tcPr>
            <w:tcW w:w="819" w:type="dxa"/>
            <w:tcBorders>
              <w:top w:val="single" w:color="auto" w:sz="4" w:space="0"/>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全州</w:t>
            </w:r>
          </w:p>
        </w:tc>
      </w:tr>
      <w:tr>
        <w:tblPrEx>
          <w:tblCellMar>
            <w:top w:w="0" w:type="dxa"/>
            <w:left w:w="108" w:type="dxa"/>
            <w:bottom w:w="0" w:type="dxa"/>
            <w:right w:w="108" w:type="dxa"/>
          </w:tblCellMar>
        </w:tblPrEx>
        <w:trPr>
          <w:trHeight w:val="378" w:hRule="atLeast"/>
        </w:trPr>
        <w:tc>
          <w:tcPr>
            <w:tcW w:w="1565" w:type="dxa"/>
            <w:tcBorders>
              <w:top w:val="nil"/>
              <w:left w:val="single" w:color="auto" w:sz="4" w:space="0"/>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水利工程供水</w:t>
            </w:r>
          </w:p>
        </w:tc>
        <w:tc>
          <w:tcPr>
            <w:tcW w:w="81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 xml:space="preserve">4485 </w:t>
            </w:r>
          </w:p>
        </w:tc>
        <w:tc>
          <w:tcPr>
            <w:tcW w:w="81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 xml:space="preserve">7566 </w:t>
            </w:r>
          </w:p>
        </w:tc>
        <w:tc>
          <w:tcPr>
            <w:tcW w:w="81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 xml:space="preserve">10913 </w:t>
            </w:r>
          </w:p>
        </w:tc>
        <w:tc>
          <w:tcPr>
            <w:tcW w:w="81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 xml:space="preserve">8190 </w:t>
            </w:r>
          </w:p>
        </w:tc>
        <w:tc>
          <w:tcPr>
            <w:tcW w:w="81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 xml:space="preserve">6427 </w:t>
            </w:r>
          </w:p>
        </w:tc>
        <w:tc>
          <w:tcPr>
            <w:tcW w:w="81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 xml:space="preserve">3854 </w:t>
            </w:r>
          </w:p>
        </w:tc>
        <w:tc>
          <w:tcPr>
            <w:tcW w:w="81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 xml:space="preserve">14632 </w:t>
            </w:r>
          </w:p>
        </w:tc>
        <w:tc>
          <w:tcPr>
            <w:tcW w:w="81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 xml:space="preserve">8584 </w:t>
            </w:r>
          </w:p>
        </w:tc>
        <w:tc>
          <w:tcPr>
            <w:tcW w:w="81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 xml:space="preserve">64651 </w:t>
            </w:r>
          </w:p>
        </w:tc>
      </w:tr>
      <w:tr>
        <w:tblPrEx>
          <w:tblCellMar>
            <w:top w:w="0" w:type="dxa"/>
            <w:left w:w="108" w:type="dxa"/>
            <w:bottom w:w="0" w:type="dxa"/>
            <w:right w:w="108" w:type="dxa"/>
          </w:tblCellMar>
        </w:tblPrEx>
        <w:trPr>
          <w:trHeight w:val="378" w:hRule="atLeast"/>
        </w:trPr>
        <w:tc>
          <w:tcPr>
            <w:tcW w:w="1565" w:type="dxa"/>
            <w:tcBorders>
              <w:top w:val="nil"/>
              <w:left w:val="single" w:color="auto" w:sz="4" w:space="0"/>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公共供水</w:t>
            </w:r>
          </w:p>
        </w:tc>
        <w:tc>
          <w:tcPr>
            <w:tcW w:w="81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 xml:space="preserve">4699 </w:t>
            </w:r>
          </w:p>
        </w:tc>
        <w:tc>
          <w:tcPr>
            <w:tcW w:w="81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 xml:space="preserve">1069 </w:t>
            </w:r>
          </w:p>
        </w:tc>
        <w:tc>
          <w:tcPr>
            <w:tcW w:w="81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 xml:space="preserve">1757 </w:t>
            </w:r>
          </w:p>
        </w:tc>
        <w:tc>
          <w:tcPr>
            <w:tcW w:w="81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 xml:space="preserve">1386 </w:t>
            </w:r>
          </w:p>
        </w:tc>
        <w:tc>
          <w:tcPr>
            <w:tcW w:w="81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 xml:space="preserve">1480 </w:t>
            </w:r>
          </w:p>
        </w:tc>
        <w:tc>
          <w:tcPr>
            <w:tcW w:w="81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 xml:space="preserve">588 </w:t>
            </w:r>
          </w:p>
        </w:tc>
        <w:tc>
          <w:tcPr>
            <w:tcW w:w="81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 xml:space="preserve">1636 </w:t>
            </w:r>
          </w:p>
        </w:tc>
        <w:tc>
          <w:tcPr>
            <w:tcW w:w="81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 xml:space="preserve">2099 </w:t>
            </w:r>
          </w:p>
        </w:tc>
        <w:tc>
          <w:tcPr>
            <w:tcW w:w="81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 xml:space="preserve">14714 </w:t>
            </w:r>
          </w:p>
        </w:tc>
      </w:tr>
      <w:tr>
        <w:tblPrEx>
          <w:tblCellMar>
            <w:top w:w="0" w:type="dxa"/>
            <w:left w:w="108" w:type="dxa"/>
            <w:bottom w:w="0" w:type="dxa"/>
            <w:right w:w="108" w:type="dxa"/>
          </w:tblCellMar>
        </w:tblPrEx>
        <w:trPr>
          <w:trHeight w:val="378" w:hRule="atLeast"/>
        </w:trPr>
        <w:tc>
          <w:tcPr>
            <w:tcW w:w="1565" w:type="dxa"/>
            <w:tcBorders>
              <w:top w:val="nil"/>
              <w:left w:val="single" w:color="auto" w:sz="4" w:space="0"/>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自备水源供水</w:t>
            </w:r>
          </w:p>
        </w:tc>
        <w:tc>
          <w:tcPr>
            <w:tcW w:w="81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 xml:space="preserve">765 </w:t>
            </w:r>
          </w:p>
        </w:tc>
        <w:tc>
          <w:tcPr>
            <w:tcW w:w="81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 xml:space="preserve">935 </w:t>
            </w:r>
          </w:p>
        </w:tc>
        <w:tc>
          <w:tcPr>
            <w:tcW w:w="81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 xml:space="preserve">219 </w:t>
            </w:r>
          </w:p>
        </w:tc>
        <w:tc>
          <w:tcPr>
            <w:tcW w:w="81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 xml:space="preserve">766 </w:t>
            </w:r>
          </w:p>
        </w:tc>
        <w:tc>
          <w:tcPr>
            <w:tcW w:w="81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 xml:space="preserve">1253 </w:t>
            </w:r>
          </w:p>
        </w:tc>
        <w:tc>
          <w:tcPr>
            <w:tcW w:w="81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 xml:space="preserve">82 </w:t>
            </w:r>
          </w:p>
        </w:tc>
        <w:tc>
          <w:tcPr>
            <w:tcW w:w="81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 xml:space="preserve">320 </w:t>
            </w:r>
          </w:p>
        </w:tc>
        <w:tc>
          <w:tcPr>
            <w:tcW w:w="81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 xml:space="preserve">337 </w:t>
            </w:r>
          </w:p>
        </w:tc>
        <w:tc>
          <w:tcPr>
            <w:tcW w:w="81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 xml:space="preserve">4676 </w:t>
            </w:r>
          </w:p>
        </w:tc>
      </w:tr>
      <w:tr>
        <w:tblPrEx>
          <w:tblCellMar>
            <w:top w:w="0" w:type="dxa"/>
            <w:left w:w="108" w:type="dxa"/>
            <w:bottom w:w="0" w:type="dxa"/>
            <w:right w:w="108" w:type="dxa"/>
          </w:tblCellMar>
        </w:tblPrEx>
        <w:trPr>
          <w:trHeight w:val="378" w:hRule="atLeast"/>
        </w:trPr>
        <w:tc>
          <w:tcPr>
            <w:tcW w:w="1565" w:type="dxa"/>
            <w:tcBorders>
              <w:top w:val="nil"/>
              <w:left w:val="single" w:color="auto" w:sz="4" w:space="0"/>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非工程供水</w:t>
            </w:r>
          </w:p>
        </w:tc>
        <w:tc>
          <w:tcPr>
            <w:tcW w:w="81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 xml:space="preserve">22 </w:t>
            </w:r>
          </w:p>
        </w:tc>
        <w:tc>
          <w:tcPr>
            <w:tcW w:w="81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 xml:space="preserve">401 </w:t>
            </w:r>
          </w:p>
        </w:tc>
        <w:tc>
          <w:tcPr>
            <w:tcW w:w="81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 xml:space="preserve">303 </w:t>
            </w:r>
          </w:p>
        </w:tc>
        <w:tc>
          <w:tcPr>
            <w:tcW w:w="81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 xml:space="preserve">180 </w:t>
            </w:r>
          </w:p>
        </w:tc>
        <w:tc>
          <w:tcPr>
            <w:tcW w:w="81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 xml:space="preserve">446 </w:t>
            </w:r>
          </w:p>
        </w:tc>
        <w:tc>
          <w:tcPr>
            <w:tcW w:w="81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 xml:space="preserve">34 </w:t>
            </w:r>
          </w:p>
        </w:tc>
        <w:tc>
          <w:tcPr>
            <w:tcW w:w="81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 xml:space="preserve">312 </w:t>
            </w:r>
          </w:p>
        </w:tc>
        <w:tc>
          <w:tcPr>
            <w:tcW w:w="81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 xml:space="preserve">683 </w:t>
            </w:r>
          </w:p>
        </w:tc>
        <w:tc>
          <w:tcPr>
            <w:tcW w:w="81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 xml:space="preserve">2381 </w:t>
            </w:r>
          </w:p>
        </w:tc>
      </w:tr>
      <w:tr>
        <w:tblPrEx>
          <w:tblCellMar>
            <w:top w:w="0" w:type="dxa"/>
            <w:left w:w="108" w:type="dxa"/>
            <w:bottom w:w="0" w:type="dxa"/>
            <w:right w:w="108" w:type="dxa"/>
          </w:tblCellMar>
        </w:tblPrEx>
        <w:trPr>
          <w:trHeight w:val="378" w:hRule="atLeast"/>
        </w:trPr>
        <w:tc>
          <w:tcPr>
            <w:tcW w:w="1565" w:type="dxa"/>
            <w:tcBorders>
              <w:top w:val="nil"/>
              <w:left w:val="single" w:color="auto" w:sz="4" w:space="0"/>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其它水源供水</w:t>
            </w:r>
          </w:p>
        </w:tc>
        <w:tc>
          <w:tcPr>
            <w:tcW w:w="81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0</w:t>
            </w:r>
          </w:p>
        </w:tc>
        <w:tc>
          <w:tcPr>
            <w:tcW w:w="81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0</w:t>
            </w:r>
          </w:p>
        </w:tc>
        <w:tc>
          <w:tcPr>
            <w:tcW w:w="81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0</w:t>
            </w:r>
          </w:p>
        </w:tc>
        <w:tc>
          <w:tcPr>
            <w:tcW w:w="81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0</w:t>
            </w:r>
          </w:p>
        </w:tc>
        <w:tc>
          <w:tcPr>
            <w:tcW w:w="81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0</w:t>
            </w:r>
          </w:p>
        </w:tc>
        <w:tc>
          <w:tcPr>
            <w:tcW w:w="81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0</w:t>
            </w:r>
          </w:p>
        </w:tc>
        <w:tc>
          <w:tcPr>
            <w:tcW w:w="81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0</w:t>
            </w:r>
          </w:p>
        </w:tc>
        <w:tc>
          <w:tcPr>
            <w:tcW w:w="81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0</w:t>
            </w:r>
          </w:p>
        </w:tc>
        <w:tc>
          <w:tcPr>
            <w:tcW w:w="81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0</w:t>
            </w:r>
          </w:p>
        </w:tc>
      </w:tr>
      <w:tr>
        <w:tblPrEx>
          <w:tblCellMar>
            <w:top w:w="0" w:type="dxa"/>
            <w:left w:w="108" w:type="dxa"/>
            <w:bottom w:w="0" w:type="dxa"/>
            <w:right w:w="108" w:type="dxa"/>
          </w:tblCellMar>
        </w:tblPrEx>
        <w:trPr>
          <w:trHeight w:val="378" w:hRule="atLeast"/>
        </w:trPr>
        <w:tc>
          <w:tcPr>
            <w:tcW w:w="1565" w:type="dxa"/>
            <w:tcBorders>
              <w:top w:val="nil"/>
              <w:left w:val="single" w:color="auto" w:sz="4" w:space="0"/>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合计</w:t>
            </w:r>
          </w:p>
        </w:tc>
        <w:tc>
          <w:tcPr>
            <w:tcW w:w="81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 xml:space="preserve">9971 </w:t>
            </w:r>
          </w:p>
        </w:tc>
        <w:tc>
          <w:tcPr>
            <w:tcW w:w="81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 xml:space="preserve">9971 </w:t>
            </w:r>
          </w:p>
        </w:tc>
        <w:tc>
          <w:tcPr>
            <w:tcW w:w="81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 xml:space="preserve">13191 </w:t>
            </w:r>
          </w:p>
        </w:tc>
        <w:tc>
          <w:tcPr>
            <w:tcW w:w="81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 xml:space="preserve">10522 </w:t>
            </w:r>
          </w:p>
        </w:tc>
        <w:tc>
          <w:tcPr>
            <w:tcW w:w="81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 xml:space="preserve">9607 </w:t>
            </w:r>
          </w:p>
        </w:tc>
        <w:tc>
          <w:tcPr>
            <w:tcW w:w="81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 xml:space="preserve">4558 </w:t>
            </w:r>
          </w:p>
        </w:tc>
        <w:tc>
          <w:tcPr>
            <w:tcW w:w="81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16900</w:t>
            </w:r>
          </w:p>
        </w:tc>
        <w:tc>
          <w:tcPr>
            <w:tcW w:w="81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 xml:space="preserve">11702 </w:t>
            </w:r>
          </w:p>
        </w:tc>
        <w:tc>
          <w:tcPr>
            <w:tcW w:w="81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 xml:space="preserve">86422 </w:t>
            </w:r>
          </w:p>
        </w:tc>
      </w:tr>
    </w:tbl>
    <w:p>
      <w:pPr>
        <w:ind w:hanging="142"/>
        <w:jc w:val="center"/>
        <w:rPr>
          <w:color w:val="000000" w:themeColor="text1"/>
          <w:sz w:val="28"/>
          <w:szCs w:val="28"/>
        </w:rPr>
      </w:pPr>
      <w:r>
        <w:rPr>
          <w:rFonts w:hint="eastAsia"/>
          <w:b/>
          <w:color w:val="000000" w:themeColor="text1"/>
          <w:sz w:val="28"/>
          <w:szCs w:val="28"/>
        </w:rPr>
        <w:t xml:space="preserve">△表8  2020年各行政分区供水量   </w:t>
      </w:r>
      <w:r>
        <w:rPr>
          <w:rFonts w:hint="eastAsia"/>
          <w:color w:val="000000" w:themeColor="text1"/>
          <w:sz w:val="28"/>
          <w:szCs w:val="28"/>
        </w:rPr>
        <w:t xml:space="preserve"> 单位：万m</w:t>
      </w:r>
      <w:r>
        <w:rPr>
          <w:rFonts w:hint="eastAsia"/>
          <w:color w:val="000000" w:themeColor="text1"/>
          <w:sz w:val="28"/>
          <w:szCs w:val="28"/>
          <w:vertAlign w:val="superscript"/>
        </w:rPr>
        <w:t>3</w:t>
      </w:r>
    </w:p>
    <w:p>
      <w:pPr>
        <w:rPr>
          <w:b/>
          <w:sz w:val="28"/>
          <w:szCs w:val="28"/>
        </w:rPr>
      </w:pPr>
      <w:r>
        <w:rPr>
          <w:rFonts w:hint="eastAsia"/>
          <w:b/>
          <w:sz w:val="28"/>
          <w:szCs w:val="28"/>
        </w:rPr>
        <w:t>（二）用水量</w:t>
      </w:r>
    </w:p>
    <w:p>
      <w:pPr>
        <w:ind w:hanging="142"/>
        <w:jc w:val="left"/>
        <w:rPr>
          <w:color w:val="000000" w:themeColor="text1"/>
          <w:sz w:val="28"/>
          <w:szCs w:val="28"/>
        </w:rPr>
      </w:pPr>
      <w:r>
        <w:rPr>
          <w:rFonts w:hint="eastAsia"/>
          <w:color w:val="000000" w:themeColor="text1"/>
          <w:sz w:val="28"/>
          <w:szCs w:val="28"/>
        </w:rPr>
        <w:t xml:space="preserve">    </w:t>
      </w:r>
      <w:r>
        <w:rPr>
          <w:color w:val="000000" w:themeColor="text1"/>
          <w:sz w:val="28"/>
          <w:szCs w:val="28"/>
        </w:rPr>
        <w:t>20</w:t>
      </w:r>
      <w:r>
        <w:rPr>
          <w:rFonts w:hint="eastAsia"/>
          <w:color w:val="000000" w:themeColor="text1"/>
          <w:sz w:val="28"/>
          <w:szCs w:val="28"/>
        </w:rPr>
        <w:t>20</w:t>
      </w:r>
      <w:r>
        <w:rPr>
          <w:color w:val="000000" w:themeColor="text1"/>
          <w:sz w:val="28"/>
          <w:szCs w:val="28"/>
        </w:rPr>
        <w:t>年全州各部门实际用水总量为</w:t>
      </w:r>
      <w:r>
        <w:rPr>
          <w:rFonts w:hint="eastAsia"/>
          <w:color w:val="000000" w:themeColor="text1"/>
          <w:sz w:val="28"/>
          <w:szCs w:val="28"/>
        </w:rPr>
        <w:t>8.6422</w:t>
      </w:r>
      <w:r>
        <w:rPr>
          <w:color w:val="000000" w:themeColor="text1"/>
          <w:sz w:val="28"/>
          <w:szCs w:val="28"/>
        </w:rPr>
        <w:t>亿</w:t>
      </w:r>
      <w:r>
        <w:rPr>
          <w:rFonts w:hint="eastAsia"/>
          <w:sz w:val="28"/>
          <w:szCs w:val="28"/>
        </w:rPr>
        <w:t>m</w:t>
      </w:r>
      <w:r>
        <w:rPr>
          <w:rFonts w:hint="eastAsia"/>
          <w:sz w:val="28"/>
          <w:szCs w:val="28"/>
          <w:vertAlign w:val="superscript"/>
        </w:rPr>
        <w:t>3</w:t>
      </w:r>
      <w:r>
        <w:rPr>
          <w:color w:val="000000" w:themeColor="text1"/>
          <w:sz w:val="28"/>
          <w:szCs w:val="28"/>
        </w:rPr>
        <w:t>，较上年减少</w:t>
      </w:r>
      <w:r>
        <w:rPr>
          <w:rFonts w:hint="eastAsia"/>
          <w:color w:val="000000" w:themeColor="text1"/>
          <w:sz w:val="28"/>
          <w:szCs w:val="28"/>
        </w:rPr>
        <w:t>5.83</w:t>
      </w:r>
      <w:r>
        <w:rPr>
          <w:color w:val="000000" w:themeColor="text1"/>
          <w:sz w:val="28"/>
          <w:szCs w:val="28"/>
        </w:rPr>
        <w:t>%。按水源分，地表水</w:t>
      </w:r>
      <w:r>
        <w:rPr>
          <w:rFonts w:hint="eastAsia"/>
          <w:color w:val="000000" w:themeColor="text1"/>
          <w:sz w:val="28"/>
          <w:szCs w:val="28"/>
        </w:rPr>
        <w:t>8.5807</w:t>
      </w:r>
      <w:r>
        <w:rPr>
          <w:color w:val="000000" w:themeColor="text1"/>
          <w:sz w:val="28"/>
          <w:szCs w:val="28"/>
        </w:rPr>
        <w:t>亿</w:t>
      </w:r>
      <w:r>
        <w:rPr>
          <w:rFonts w:hint="eastAsia"/>
          <w:sz w:val="28"/>
          <w:szCs w:val="28"/>
        </w:rPr>
        <w:t>m</w:t>
      </w:r>
      <w:r>
        <w:rPr>
          <w:rFonts w:hint="eastAsia"/>
          <w:sz w:val="28"/>
          <w:szCs w:val="28"/>
          <w:vertAlign w:val="superscript"/>
        </w:rPr>
        <w:t>3</w:t>
      </w:r>
      <w:r>
        <w:rPr>
          <w:color w:val="000000" w:themeColor="text1"/>
          <w:sz w:val="28"/>
          <w:szCs w:val="28"/>
        </w:rPr>
        <w:t>，地下水0.0</w:t>
      </w:r>
      <w:r>
        <w:rPr>
          <w:rFonts w:hint="eastAsia"/>
          <w:color w:val="000000" w:themeColor="text1"/>
          <w:sz w:val="28"/>
          <w:szCs w:val="28"/>
        </w:rPr>
        <w:t>615</w:t>
      </w:r>
      <w:r>
        <w:rPr>
          <w:color w:val="000000" w:themeColor="text1"/>
          <w:sz w:val="28"/>
          <w:szCs w:val="28"/>
        </w:rPr>
        <w:t>亿</w:t>
      </w:r>
      <w:r>
        <w:rPr>
          <w:rFonts w:hint="eastAsia"/>
          <w:sz w:val="28"/>
          <w:szCs w:val="28"/>
        </w:rPr>
        <w:t>m</w:t>
      </w:r>
      <w:r>
        <w:rPr>
          <w:rFonts w:hint="eastAsia"/>
          <w:sz w:val="28"/>
          <w:szCs w:val="28"/>
          <w:vertAlign w:val="superscript"/>
        </w:rPr>
        <w:t>3</w:t>
      </w:r>
      <w:r>
        <w:rPr>
          <w:color w:val="000000" w:themeColor="text1"/>
          <w:sz w:val="28"/>
          <w:szCs w:val="28"/>
        </w:rPr>
        <w:t>；按部门分，农业用水6.</w:t>
      </w:r>
      <w:r>
        <w:rPr>
          <w:rFonts w:hint="eastAsia"/>
          <w:color w:val="000000" w:themeColor="text1"/>
          <w:sz w:val="28"/>
          <w:szCs w:val="28"/>
        </w:rPr>
        <w:t>583</w:t>
      </w:r>
      <w:r>
        <w:rPr>
          <w:color w:val="000000" w:themeColor="text1"/>
          <w:sz w:val="28"/>
          <w:szCs w:val="28"/>
        </w:rPr>
        <w:t>亿</w:t>
      </w:r>
      <w:r>
        <w:rPr>
          <w:rFonts w:hint="eastAsia"/>
          <w:sz w:val="28"/>
          <w:szCs w:val="28"/>
        </w:rPr>
        <w:t>m</w:t>
      </w:r>
      <w:r>
        <w:rPr>
          <w:rFonts w:hint="eastAsia"/>
          <w:sz w:val="28"/>
          <w:szCs w:val="28"/>
          <w:vertAlign w:val="superscript"/>
        </w:rPr>
        <w:t>3</w:t>
      </w:r>
      <w:r>
        <w:rPr>
          <w:color w:val="000000" w:themeColor="text1"/>
          <w:sz w:val="28"/>
          <w:szCs w:val="28"/>
        </w:rPr>
        <w:t xml:space="preserve"> (其中林、牧、渔、畜用水0.1389亿</w:t>
      </w:r>
      <w:r>
        <w:rPr>
          <w:rFonts w:hint="eastAsia"/>
          <w:sz w:val="28"/>
          <w:szCs w:val="28"/>
        </w:rPr>
        <w:t>m</w:t>
      </w:r>
      <w:r>
        <w:rPr>
          <w:rFonts w:hint="eastAsia"/>
          <w:sz w:val="28"/>
          <w:szCs w:val="28"/>
          <w:vertAlign w:val="superscript"/>
        </w:rPr>
        <w:t>3</w:t>
      </w:r>
      <w:r>
        <w:rPr>
          <w:color w:val="000000" w:themeColor="text1"/>
          <w:sz w:val="28"/>
          <w:szCs w:val="28"/>
        </w:rPr>
        <w:t>)、工业用水</w:t>
      </w:r>
      <w:r>
        <w:rPr>
          <w:rFonts w:hint="eastAsia"/>
          <w:color w:val="000000" w:themeColor="text1"/>
          <w:sz w:val="28"/>
          <w:szCs w:val="28"/>
        </w:rPr>
        <w:t>0.4719</w:t>
      </w:r>
      <w:r>
        <w:rPr>
          <w:color w:val="000000" w:themeColor="text1"/>
          <w:sz w:val="28"/>
          <w:szCs w:val="28"/>
        </w:rPr>
        <w:t>亿</w:t>
      </w:r>
      <w:r>
        <w:rPr>
          <w:rFonts w:hint="eastAsia"/>
          <w:sz w:val="28"/>
          <w:szCs w:val="28"/>
        </w:rPr>
        <w:t>m</w:t>
      </w:r>
      <w:r>
        <w:rPr>
          <w:rFonts w:hint="eastAsia"/>
          <w:sz w:val="28"/>
          <w:szCs w:val="28"/>
          <w:vertAlign w:val="superscript"/>
        </w:rPr>
        <w:t>3</w:t>
      </w:r>
      <w:r>
        <w:rPr>
          <w:color w:val="000000" w:themeColor="text1"/>
          <w:sz w:val="28"/>
          <w:szCs w:val="28"/>
        </w:rPr>
        <w:t>（无火电）、居民生活用水1.</w:t>
      </w:r>
      <w:r>
        <w:rPr>
          <w:rFonts w:hint="eastAsia"/>
          <w:color w:val="000000" w:themeColor="text1"/>
          <w:sz w:val="28"/>
          <w:szCs w:val="28"/>
        </w:rPr>
        <w:t>2327</w:t>
      </w:r>
      <w:r>
        <w:rPr>
          <w:color w:val="000000" w:themeColor="text1"/>
          <w:sz w:val="28"/>
          <w:szCs w:val="28"/>
        </w:rPr>
        <w:t>亿</w:t>
      </w:r>
      <w:r>
        <w:rPr>
          <w:rFonts w:hint="eastAsia"/>
          <w:sz w:val="28"/>
          <w:szCs w:val="28"/>
        </w:rPr>
        <w:t>m</w:t>
      </w:r>
      <w:r>
        <w:rPr>
          <w:rFonts w:hint="eastAsia"/>
          <w:sz w:val="28"/>
          <w:szCs w:val="28"/>
          <w:vertAlign w:val="superscript"/>
        </w:rPr>
        <w:t>3</w:t>
      </w:r>
      <w:r>
        <w:rPr>
          <w:color w:val="000000" w:themeColor="text1"/>
          <w:sz w:val="28"/>
          <w:szCs w:val="28"/>
        </w:rPr>
        <w:t>（其中城镇居民用水0.6</w:t>
      </w:r>
      <w:r>
        <w:rPr>
          <w:rFonts w:hint="eastAsia"/>
          <w:color w:val="000000" w:themeColor="text1"/>
          <w:sz w:val="28"/>
          <w:szCs w:val="28"/>
        </w:rPr>
        <w:t>522</w:t>
      </w:r>
      <w:r>
        <w:rPr>
          <w:color w:val="000000" w:themeColor="text1"/>
          <w:sz w:val="28"/>
          <w:szCs w:val="28"/>
        </w:rPr>
        <w:t>亿</w:t>
      </w:r>
      <w:r>
        <w:rPr>
          <w:rFonts w:hint="eastAsia"/>
          <w:sz w:val="28"/>
          <w:szCs w:val="28"/>
        </w:rPr>
        <w:t>m</w:t>
      </w:r>
      <w:r>
        <w:rPr>
          <w:rFonts w:hint="eastAsia"/>
          <w:sz w:val="28"/>
          <w:szCs w:val="28"/>
          <w:vertAlign w:val="superscript"/>
        </w:rPr>
        <w:t>3</w:t>
      </w:r>
      <w:r>
        <w:rPr>
          <w:color w:val="000000" w:themeColor="text1"/>
          <w:sz w:val="28"/>
          <w:szCs w:val="28"/>
        </w:rPr>
        <w:t>）、城镇公共0.</w:t>
      </w:r>
      <w:r>
        <w:rPr>
          <w:rFonts w:hint="eastAsia"/>
          <w:color w:val="000000" w:themeColor="text1"/>
          <w:sz w:val="28"/>
          <w:szCs w:val="28"/>
        </w:rPr>
        <w:t>2407</w:t>
      </w:r>
      <w:r>
        <w:rPr>
          <w:color w:val="000000" w:themeColor="text1"/>
          <w:sz w:val="28"/>
          <w:szCs w:val="28"/>
        </w:rPr>
        <w:t>亿</w:t>
      </w:r>
      <w:r>
        <w:rPr>
          <w:rFonts w:hint="eastAsia"/>
          <w:sz w:val="28"/>
          <w:szCs w:val="28"/>
        </w:rPr>
        <w:t>m</w:t>
      </w:r>
      <w:r>
        <w:rPr>
          <w:rFonts w:hint="eastAsia"/>
          <w:sz w:val="28"/>
          <w:szCs w:val="28"/>
          <w:vertAlign w:val="superscript"/>
        </w:rPr>
        <w:t>3</w:t>
      </w:r>
      <w:r>
        <w:rPr>
          <w:color w:val="000000" w:themeColor="text1"/>
          <w:sz w:val="28"/>
          <w:szCs w:val="28"/>
        </w:rPr>
        <w:t xml:space="preserve"> (其中服务业0.</w:t>
      </w:r>
      <w:r>
        <w:rPr>
          <w:rFonts w:hint="eastAsia"/>
          <w:color w:val="000000" w:themeColor="text1"/>
          <w:sz w:val="28"/>
          <w:szCs w:val="28"/>
        </w:rPr>
        <w:t>2007</w:t>
      </w:r>
      <w:r>
        <w:rPr>
          <w:color w:val="000000" w:themeColor="text1"/>
          <w:sz w:val="28"/>
          <w:szCs w:val="28"/>
        </w:rPr>
        <w:t>亿</w:t>
      </w:r>
      <w:r>
        <w:rPr>
          <w:rFonts w:hint="eastAsia"/>
          <w:sz w:val="28"/>
          <w:szCs w:val="28"/>
        </w:rPr>
        <w:t>m</w:t>
      </w:r>
      <w:r>
        <w:rPr>
          <w:rFonts w:hint="eastAsia"/>
          <w:sz w:val="28"/>
          <w:szCs w:val="28"/>
          <w:vertAlign w:val="superscript"/>
        </w:rPr>
        <w:t>3</w:t>
      </w:r>
      <w:r>
        <w:rPr>
          <w:color w:val="000000" w:themeColor="text1"/>
          <w:sz w:val="28"/>
          <w:szCs w:val="28"/>
        </w:rPr>
        <w:t>)、生态环境用水0.11</w:t>
      </w:r>
      <w:r>
        <w:rPr>
          <w:rFonts w:hint="eastAsia"/>
          <w:color w:val="000000" w:themeColor="text1"/>
          <w:sz w:val="28"/>
          <w:szCs w:val="28"/>
        </w:rPr>
        <w:t>39</w:t>
      </w:r>
      <w:r>
        <w:rPr>
          <w:color w:val="000000" w:themeColor="text1"/>
          <w:sz w:val="28"/>
          <w:szCs w:val="28"/>
        </w:rPr>
        <w:t>亿</w:t>
      </w:r>
      <w:r>
        <w:rPr>
          <w:rFonts w:hint="eastAsia"/>
          <w:sz w:val="28"/>
          <w:szCs w:val="28"/>
        </w:rPr>
        <w:t>m</w:t>
      </w:r>
      <w:r>
        <w:rPr>
          <w:rFonts w:hint="eastAsia"/>
          <w:sz w:val="28"/>
          <w:szCs w:val="28"/>
          <w:vertAlign w:val="superscript"/>
        </w:rPr>
        <w:t>3</w:t>
      </w:r>
      <w:r>
        <w:rPr>
          <w:color w:val="000000" w:themeColor="text1"/>
          <w:sz w:val="28"/>
          <w:szCs w:val="28"/>
        </w:rPr>
        <w:t>。</w:t>
      </w:r>
      <w:r>
        <w:rPr>
          <w:rFonts w:hint="eastAsia"/>
          <w:color w:val="000000" w:themeColor="text1"/>
          <w:sz w:val="28"/>
          <w:szCs w:val="28"/>
        </w:rPr>
        <w:t>2020年全州各类用水量比重见图9，2020年各行政分区用水量见表9，2020年各行政分区用水量见图10，2020年各行政分区供水量与用水量见表10。</w:t>
      </w:r>
    </w:p>
    <w:p>
      <w:pPr>
        <w:ind w:hanging="142"/>
        <w:rPr>
          <w:color w:val="000000" w:themeColor="text1"/>
          <w:sz w:val="28"/>
          <w:szCs w:val="28"/>
        </w:rPr>
      </w:pPr>
      <w:r>
        <w:rPr>
          <w:color w:val="000000" w:themeColor="text1"/>
          <w:sz w:val="28"/>
          <w:szCs w:val="28"/>
        </w:rPr>
        <w:drawing>
          <wp:inline distT="0" distB="0" distL="0" distR="0">
            <wp:extent cx="5274310" cy="3286125"/>
            <wp:effectExtent l="19050" t="0" r="21590" b="0"/>
            <wp:docPr id="18" name="图表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pPr>
        <w:ind w:hanging="142"/>
        <w:jc w:val="center"/>
        <w:rPr>
          <w:b/>
          <w:color w:val="000000" w:themeColor="text1"/>
          <w:sz w:val="28"/>
          <w:szCs w:val="28"/>
        </w:rPr>
      </w:pPr>
      <w:r>
        <w:rPr>
          <w:rFonts w:hint="eastAsia"/>
          <w:b/>
          <w:color w:val="000000" w:themeColor="text1"/>
          <w:sz w:val="28"/>
          <w:szCs w:val="28"/>
        </w:rPr>
        <w:t>△图9  2020年全州各类用水量比重示意图</w:t>
      </w:r>
    </w:p>
    <w:p>
      <w:pPr>
        <w:widowControl/>
        <w:jc w:val="left"/>
        <w:rPr>
          <w:b/>
          <w:color w:val="000000" w:themeColor="text1"/>
          <w:sz w:val="28"/>
          <w:szCs w:val="28"/>
        </w:rPr>
      </w:pPr>
      <w:r>
        <w:rPr>
          <w:b/>
          <w:color w:val="000000" w:themeColor="text1"/>
          <w:sz w:val="28"/>
          <w:szCs w:val="28"/>
        </w:rPr>
        <w:br w:type="page"/>
      </w:r>
    </w:p>
    <w:tbl>
      <w:tblPr>
        <w:tblStyle w:val="11"/>
        <w:tblW w:w="8936" w:type="dxa"/>
        <w:tblInd w:w="103" w:type="dxa"/>
        <w:tblLayout w:type="fixed"/>
        <w:tblCellMar>
          <w:top w:w="0" w:type="dxa"/>
          <w:left w:w="108" w:type="dxa"/>
          <w:bottom w:w="0" w:type="dxa"/>
          <w:right w:w="108" w:type="dxa"/>
        </w:tblCellMar>
      </w:tblPr>
      <w:tblGrid>
        <w:gridCol w:w="1706"/>
        <w:gridCol w:w="803"/>
        <w:gridCol w:w="803"/>
        <w:gridCol w:w="804"/>
        <w:gridCol w:w="803"/>
        <w:gridCol w:w="803"/>
        <w:gridCol w:w="804"/>
        <w:gridCol w:w="803"/>
        <w:gridCol w:w="803"/>
        <w:gridCol w:w="804"/>
      </w:tblGrid>
      <w:tr>
        <w:tblPrEx>
          <w:tblCellMar>
            <w:top w:w="0" w:type="dxa"/>
            <w:left w:w="108" w:type="dxa"/>
            <w:bottom w:w="0" w:type="dxa"/>
            <w:right w:w="108" w:type="dxa"/>
          </w:tblCellMar>
        </w:tblPrEx>
        <w:trPr>
          <w:trHeight w:val="814" w:hRule="atLeast"/>
        </w:trPr>
        <w:tc>
          <w:tcPr>
            <w:tcW w:w="1706" w:type="dxa"/>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　</w:t>
            </w:r>
          </w:p>
        </w:tc>
        <w:tc>
          <w:tcPr>
            <w:tcW w:w="803" w:type="dxa"/>
            <w:tcBorders>
              <w:top w:val="single" w:color="auto" w:sz="4" w:space="0"/>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吉首市</w:t>
            </w:r>
          </w:p>
        </w:tc>
        <w:tc>
          <w:tcPr>
            <w:tcW w:w="803" w:type="dxa"/>
            <w:tcBorders>
              <w:top w:val="single" w:color="auto" w:sz="4" w:space="0"/>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泸溪县</w:t>
            </w:r>
          </w:p>
        </w:tc>
        <w:tc>
          <w:tcPr>
            <w:tcW w:w="804" w:type="dxa"/>
            <w:tcBorders>
              <w:top w:val="single" w:color="auto" w:sz="4" w:space="0"/>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凤凰县</w:t>
            </w:r>
          </w:p>
        </w:tc>
        <w:tc>
          <w:tcPr>
            <w:tcW w:w="803" w:type="dxa"/>
            <w:tcBorders>
              <w:top w:val="single" w:color="auto" w:sz="4" w:space="0"/>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花垣县</w:t>
            </w:r>
          </w:p>
        </w:tc>
        <w:tc>
          <w:tcPr>
            <w:tcW w:w="803" w:type="dxa"/>
            <w:tcBorders>
              <w:top w:val="single" w:color="auto" w:sz="4" w:space="0"/>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保靖县</w:t>
            </w:r>
          </w:p>
        </w:tc>
        <w:tc>
          <w:tcPr>
            <w:tcW w:w="804" w:type="dxa"/>
            <w:tcBorders>
              <w:top w:val="single" w:color="auto" w:sz="4" w:space="0"/>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古丈县</w:t>
            </w:r>
          </w:p>
        </w:tc>
        <w:tc>
          <w:tcPr>
            <w:tcW w:w="803" w:type="dxa"/>
            <w:tcBorders>
              <w:top w:val="single" w:color="auto" w:sz="4" w:space="0"/>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永顺县</w:t>
            </w:r>
          </w:p>
        </w:tc>
        <w:tc>
          <w:tcPr>
            <w:tcW w:w="803" w:type="dxa"/>
            <w:tcBorders>
              <w:top w:val="single" w:color="auto" w:sz="4" w:space="0"/>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龙山县</w:t>
            </w:r>
          </w:p>
        </w:tc>
        <w:tc>
          <w:tcPr>
            <w:tcW w:w="804" w:type="dxa"/>
            <w:tcBorders>
              <w:top w:val="single" w:color="auto" w:sz="4" w:space="0"/>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全州</w:t>
            </w:r>
          </w:p>
        </w:tc>
      </w:tr>
      <w:tr>
        <w:tblPrEx>
          <w:tblCellMar>
            <w:top w:w="0" w:type="dxa"/>
            <w:left w:w="108" w:type="dxa"/>
            <w:bottom w:w="0" w:type="dxa"/>
            <w:right w:w="108" w:type="dxa"/>
          </w:tblCellMar>
        </w:tblPrEx>
        <w:trPr>
          <w:trHeight w:val="240" w:hRule="atLeast"/>
        </w:trPr>
        <w:tc>
          <w:tcPr>
            <w:tcW w:w="1706" w:type="dxa"/>
            <w:tcBorders>
              <w:top w:val="nil"/>
              <w:left w:val="single" w:color="auto" w:sz="4" w:space="0"/>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农田灌溉用水量</w:t>
            </w:r>
          </w:p>
        </w:tc>
        <w:tc>
          <w:tcPr>
            <w:tcW w:w="803" w:type="dxa"/>
            <w:tcBorders>
              <w:top w:val="nil"/>
              <w:left w:val="nil"/>
              <w:bottom w:val="single" w:color="auto" w:sz="4" w:space="0"/>
              <w:right w:val="single" w:color="auto" w:sz="4" w:space="0"/>
            </w:tcBorders>
            <w:shd w:val="clear" w:color="auto" w:fill="auto"/>
            <w:noWrap/>
            <w:vAlign w:val="center"/>
          </w:tcPr>
          <w:p>
            <w:pPr>
              <w:widowControl/>
              <w:jc w:val="right"/>
              <w:rPr>
                <w:rFonts w:cs="宋体"/>
                <w:kern w:val="0"/>
                <w:sz w:val="18"/>
                <w:szCs w:val="18"/>
              </w:rPr>
            </w:pPr>
            <w:r>
              <w:rPr>
                <w:rFonts w:hint="eastAsia" w:cs="宋体"/>
                <w:kern w:val="0"/>
                <w:sz w:val="18"/>
                <w:szCs w:val="18"/>
              </w:rPr>
              <w:t xml:space="preserve">5360 </w:t>
            </w:r>
          </w:p>
        </w:tc>
        <w:tc>
          <w:tcPr>
            <w:tcW w:w="803" w:type="dxa"/>
            <w:tcBorders>
              <w:top w:val="nil"/>
              <w:left w:val="nil"/>
              <w:bottom w:val="single" w:color="auto" w:sz="4" w:space="0"/>
              <w:right w:val="single" w:color="auto" w:sz="4" w:space="0"/>
            </w:tcBorders>
            <w:shd w:val="clear" w:color="auto" w:fill="auto"/>
            <w:noWrap/>
            <w:vAlign w:val="center"/>
          </w:tcPr>
          <w:p>
            <w:pPr>
              <w:widowControl/>
              <w:jc w:val="right"/>
              <w:rPr>
                <w:rFonts w:cs="宋体"/>
                <w:kern w:val="0"/>
                <w:sz w:val="18"/>
                <w:szCs w:val="18"/>
              </w:rPr>
            </w:pPr>
            <w:r>
              <w:rPr>
                <w:rFonts w:hint="eastAsia" w:cs="宋体"/>
                <w:kern w:val="0"/>
                <w:sz w:val="18"/>
                <w:szCs w:val="18"/>
              </w:rPr>
              <w:t xml:space="preserve">7323 </w:t>
            </w:r>
          </w:p>
        </w:tc>
        <w:tc>
          <w:tcPr>
            <w:tcW w:w="804" w:type="dxa"/>
            <w:tcBorders>
              <w:top w:val="nil"/>
              <w:left w:val="nil"/>
              <w:bottom w:val="single" w:color="auto" w:sz="4" w:space="0"/>
              <w:right w:val="single" w:color="auto" w:sz="4" w:space="0"/>
            </w:tcBorders>
            <w:shd w:val="clear" w:color="auto" w:fill="auto"/>
            <w:noWrap/>
            <w:vAlign w:val="center"/>
          </w:tcPr>
          <w:p>
            <w:pPr>
              <w:widowControl/>
              <w:jc w:val="right"/>
              <w:rPr>
                <w:rFonts w:cs="宋体"/>
                <w:kern w:val="0"/>
                <w:sz w:val="18"/>
                <w:szCs w:val="18"/>
              </w:rPr>
            </w:pPr>
            <w:r>
              <w:rPr>
                <w:rFonts w:hint="eastAsia" w:cs="宋体"/>
                <w:kern w:val="0"/>
                <w:sz w:val="18"/>
                <w:szCs w:val="18"/>
              </w:rPr>
              <w:t xml:space="preserve">10706 </w:t>
            </w:r>
          </w:p>
        </w:tc>
        <w:tc>
          <w:tcPr>
            <w:tcW w:w="803" w:type="dxa"/>
            <w:tcBorders>
              <w:top w:val="nil"/>
              <w:left w:val="nil"/>
              <w:bottom w:val="single" w:color="auto" w:sz="4" w:space="0"/>
              <w:right w:val="single" w:color="auto" w:sz="4" w:space="0"/>
            </w:tcBorders>
            <w:shd w:val="clear" w:color="auto" w:fill="auto"/>
            <w:noWrap/>
            <w:vAlign w:val="center"/>
          </w:tcPr>
          <w:p>
            <w:pPr>
              <w:widowControl/>
              <w:jc w:val="right"/>
              <w:rPr>
                <w:rFonts w:cs="宋体"/>
                <w:kern w:val="0"/>
                <w:sz w:val="18"/>
                <w:szCs w:val="18"/>
              </w:rPr>
            </w:pPr>
            <w:r>
              <w:rPr>
                <w:rFonts w:hint="eastAsia" w:cs="宋体"/>
                <w:kern w:val="0"/>
                <w:sz w:val="18"/>
                <w:szCs w:val="18"/>
              </w:rPr>
              <w:t xml:space="preserve">7913 </w:t>
            </w:r>
          </w:p>
        </w:tc>
        <w:tc>
          <w:tcPr>
            <w:tcW w:w="803" w:type="dxa"/>
            <w:tcBorders>
              <w:top w:val="nil"/>
              <w:left w:val="nil"/>
              <w:bottom w:val="single" w:color="auto" w:sz="4" w:space="0"/>
              <w:right w:val="single" w:color="auto" w:sz="4" w:space="0"/>
            </w:tcBorders>
            <w:shd w:val="clear" w:color="auto" w:fill="auto"/>
            <w:noWrap/>
            <w:vAlign w:val="center"/>
          </w:tcPr>
          <w:p>
            <w:pPr>
              <w:widowControl/>
              <w:jc w:val="right"/>
              <w:rPr>
                <w:rFonts w:cs="宋体"/>
                <w:kern w:val="0"/>
                <w:sz w:val="18"/>
                <w:szCs w:val="18"/>
              </w:rPr>
            </w:pPr>
            <w:r>
              <w:rPr>
                <w:rFonts w:hint="eastAsia" w:cs="宋体"/>
                <w:kern w:val="0"/>
                <w:sz w:val="18"/>
                <w:szCs w:val="18"/>
              </w:rPr>
              <w:t xml:space="preserve">6649 </w:t>
            </w:r>
          </w:p>
        </w:tc>
        <w:tc>
          <w:tcPr>
            <w:tcW w:w="804" w:type="dxa"/>
            <w:tcBorders>
              <w:top w:val="nil"/>
              <w:left w:val="nil"/>
              <w:bottom w:val="single" w:color="auto" w:sz="4" w:space="0"/>
              <w:right w:val="single" w:color="auto" w:sz="4" w:space="0"/>
            </w:tcBorders>
            <w:shd w:val="clear" w:color="auto" w:fill="auto"/>
            <w:noWrap/>
            <w:vAlign w:val="center"/>
          </w:tcPr>
          <w:p>
            <w:pPr>
              <w:widowControl/>
              <w:jc w:val="right"/>
              <w:rPr>
                <w:rFonts w:cs="宋体"/>
                <w:kern w:val="0"/>
                <w:sz w:val="18"/>
                <w:szCs w:val="18"/>
              </w:rPr>
            </w:pPr>
            <w:r>
              <w:rPr>
                <w:rFonts w:hint="eastAsia" w:cs="宋体"/>
                <w:kern w:val="0"/>
                <w:sz w:val="18"/>
                <w:szCs w:val="18"/>
              </w:rPr>
              <w:t xml:space="preserve">3562 </w:t>
            </w:r>
          </w:p>
        </w:tc>
        <w:tc>
          <w:tcPr>
            <w:tcW w:w="803" w:type="dxa"/>
            <w:tcBorders>
              <w:top w:val="nil"/>
              <w:left w:val="nil"/>
              <w:bottom w:val="single" w:color="auto" w:sz="4" w:space="0"/>
              <w:right w:val="single" w:color="auto" w:sz="4" w:space="0"/>
            </w:tcBorders>
            <w:shd w:val="clear" w:color="auto" w:fill="auto"/>
            <w:noWrap/>
            <w:vAlign w:val="center"/>
          </w:tcPr>
          <w:p>
            <w:pPr>
              <w:widowControl/>
              <w:jc w:val="right"/>
              <w:rPr>
                <w:rFonts w:cs="宋体"/>
                <w:kern w:val="0"/>
                <w:sz w:val="18"/>
                <w:szCs w:val="18"/>
              </w:rPr>
            </w:pPr>
            <w:r>
              <w:rPr>
                <w:rFonts w:hint="eastAsia" w:cs="宋体"/>
                <w:kern w:val="0"/>
                <w:sz w:val="18"/>
                <w:szCs w:val="18"/>
              </w:rPr>
              <w:t xml:space="preserve">13671 </w:t>
            </w:r>
          </w:p>
        </w:tc>
        <w:tc>
          <w:tcPr>
            <w:tcW w:w="803" w:type="dxa"/>
            <w:tcBorders>
              <w:top w:val="nil"/>
              <w:left w:val="nil"/>
              <w:bottom w:val="single" w:color="auto" w:sz="4" w:space="0"/>
              <w:right w:val="single" w:color="auto" w:sz="4" w:space="0"/>
            </w:tcBorders>
            <w:shd w:val="clear" w:color="auto" w:fill="auto"/>
            <w:noWrap/>
            <w:vAlign w:val="center"/>
          </w:tcPr>
          <w:p>
            <w:pPr>
              <w:widowControl/>
              <w:jc w:val="right"/>
              <w:rPr>
                <w:rFonts w:cs="宋体"/>
                <w:kern w:val="0"/>
                <w:sz w:val="18"/>
                <w:szCs w:val="18"/>
              </w:rPr>
            </w:pPr>
            <w:r>
              <w:rPr>
                <w:rFonts w:hint="eastAsia" w:cs="宋体"/>
                <w:kern w:val="0"/>
                <w:sz w:val="18"/>
                <w:szCs w:val="18"/>
              </w:rPr>
              <w:t xml:space="preserve">8006 </w:t>
            </w:r>
          </w:p>
        </w:tc>
        <w:tc>
          <w:tcPr>
            <w:tcW w:w="804" w:type="dxa"/>
            <w:tcBorders>
              <w:top w:val="nil"/>
              <w:left w:val="nil"/>
              <w:bottom w:val="single" w:color="auto" w:sz="4" w:space="0"/>
              <w:right w:val="single" w:color="auto" w:sz="4" w:space="0"/>
            </w:tcBorders>
            <w:shd w:val="clear" w:color="auto" w:fill="auto"/>
            <w:noWrap/>
            <w:vAlign w:val="center"/>
          </w:tcPr>
          <w:p>
            <w:pPr>
              <w:widowControl/>
              <w:jc w:val="right"/>
              <w:rPr>
                <w:rFonts w:cs="宋体"/>
                <w:kern w:val="0"/>
                <w:sz w:val="18"/>
                <w:szCs w:val="18"/>
              </w:rPr>
            </w:pPr>
            <w:r>
              <w:rPr>
                <w:rFonts w:hint="eastAsia" w:cs="宋体"/>
                <w:kern w:val="0"/>
                <w:sz w:val="18"/>
                <w:szCs w:val="18"/>
              </w:rPr>
              <w:t xml:space="preserve">63190 </w:t>
            </w:r>
          </w:p>
        </w:tc>
      </w:tr>
      <w:tr>
        <w:tblPrEx>
          <w:tblCellMar>
            <w:top w:w="0" w:type="dxa"/>
            <w:left w:w="108" w:type="dxa"/>
            <w:bottom w:w="0" w:type="dxa"/>
            <w:right w:w="108" w:type="dxa"/>
          </w:tblCellMar>
        </w:tblPrEx>
        <w:trPr>
          <w:trHeight w:val="240" w:hRule="atLeast"/>
        </w:trPr>
        <w:tc>
          <w:tcPr>
            <w:tcW w:w="1706" w:type="dxa"/>
            <w:tcBorders>
              <w:top w:val="nil"/>
              <w:left w:val="single" w:color="auto" w:sz="4" w:space="0"/>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林牧渔畜用水量</w:t>
            </w:r>
          </w:p>
        </w:tc>
        <w:tc>
          <w:tcPr>
            <w:tcW w:w="803" w:type="dxa"/>
            <w:tcBorders>
              <w:top w:val="nil"/>
              <w:left w:val="nil"/>
              <w:bottom w:val="single" w:color="auto" w:sz="4" w:space="0"/>
              <w:right w:val="single" w:color="auto" w:sz="4" w:space="0"/>
            </w:tcBorders>
            <w:shd w:val="clear" w:color="auto" w:fill="auto"/>
            <w:noWrap/>
            <w:vAlign w:val="center"/>
          </w:tcPr>
          <w:p>
            <w:pPr>
              <w:widowControl/>
              <w:jc w:val="right"/>
              <w:rPr>
                <w:rFonts w:cs="宋体"/>
                <w:kern w:val="0"/>
                <w:sz w:val="18"/>
                <w:szCs w:val="18"/>
              </w:rPr>
            </w:pPr>
            <w:r>
              <w:rPr>
                <w:rFonts w:hint="eastAsia" w:cs="宋体"/>
                <w:kern w:val="0"/>
                <w:sz w:val="18"/>
                <w:szCs w:val="18"/>
              </w:rPr>
              <w:t xml:space="preserve">200 </w:t>
            </w:r>
          </w:p>
        </w:tc>
        <w:tc>
          <w:tcPr>
            <w:tcW w:w="803" w:type="dxa"/>
            <w:tcBorders>
              <w:top w:val="nil"/>
              <w:left w:val="nil"/>
              <w:bottom w:val="single" w:color="auto" w:sz="4" w:space="0"/>
              <w:right w:val="single" w:color="auto" w:sz="4" w:space="0"/>
            </w:tcBorders>
            <w:shd w:val="clear" w:color="auto" w:fill="auto"/>
            <w:noWrap/>
            <w:vAlign w:val="center"/>
          </w:tcPr>
          <w:p>
            <w:pPr>
              <w:widowControl/>
              <w:jc w:val="right"/>
              <w:rPr>
                <w:rFonts w:cs="宋体"/>
                <w:kern w:val="0"/>
                <w:sz w:val="18"/>
                <w:szCs w:val="18"/>
              </w:rPr>
            </w:pPr>
            <w:r>
              <w:rPr>
                <w:rFonts w:hint="eastAsia" w:cs="宋体"/>
                <w:kern w:val="0"/>
                <w:sz w:val="18"/>
                <w:szCs w:val="18"/>
              </w:rPr>
              <w:t xml:space="preserve">421 </w:t>
            </w:r>
          </w:p>
        </w:tc>
        <w:tc>
          <w:tcPr>
            <w:tcW w:w="804" w:type="dxa"/>
            <w:tcBorders>
              <w:top w:val="nil"/>
              <w:left w:val="nil"/>
              <w:bottom w:val="single" w:color="auto" w:sz="4" w:space="0"/>
              <w:right w:val="single" w:color="auto" w:sz="4" w:space="0"/>
            </w:tcBorders>
            <w:shd w:val="clear" w:color="auto" w:fill="auto"/>
            <w:noWrap/>
            <w:vAlign w:val="center"/>
          </w:tcPr>
          <w:p>
            <w:pPr>
              <w:widowControl/>
              <w:jc w:val="right"/>
              <w:rPr>
                <w:rFonts w:cs="宋体"/>
                <w:kern w:val="0"/>
                <w:sz w:val="18"/>
                <w:szCs w:val="18"/>
              </w:rPr>
            </w:pPr>
            <w:r>
              <w:rPr>
                <w:rFonts w:hint="eastAsia" w:cs="宋体"/>
                <w:kern w:val="0"/>
                <w:sz w:val="18"/>
                <w:szCs w:val="18"/>
              </w:rPr>
              <w:t xml:space="preserve">122 </w:t>
            </w:r>
          </w:p>
        </w:tc>
        <w:tc>
          <w:tcPr>
            <w:tcW w:w="803" w:type="dxa"/>
            <w:tcBorders>
              <w:top w:val="nil"/>
              <w:left w:val="nil"/>
              <w:bottom w:val="single" w:color="auto" w:sz="4" w:space="0"/>
              <w:right w:val="single" w:color="auto" w:sz="4" w:space="0"/>
            </w:tcBorders>
            <w:shd w:val="clear" w:color="auto" w:fill="auto"/>
            <w:noWrap/>
            <w:vAlign w:val="center"/>
          </w:tcPr>
          <w:p>
            <w:pPr>
              <w:widowControl/>
              <w:jc w:val="right"/>
              <w:rPr>
                <w:rFonts w:cs="宋体"/>
                <w:kern w:val="0"/>
                <w:sz w:val="18"/>
                <w:szCs w:val="18"/>
              </w:rPr>
            </w:pPr>
            <w:r>
              <w:rPr>
                <w:rFonts w:hint="eastAsia" w:cs="宋体"/>
                <w:kern w:val="0"/>
                <w:sz w:val="18"/>
                <w:szCs w:val="18"/>
              </w:rPr>
              <w:t xml:space="preserve">306 </w:t>
            </w:r>
          </w:p>
        </w:tc>
        <w:tc>
          <w:tcPr>
            <w:tcW w:w="803" w:type="dxa"/>
            <w:tcBorders>
              <w:top w:val="nil"/>
              <w:left w:val="nil"/>
              <w:bottom w:val="single" w:color="auto" w:sz="4" w:space="0"/>
              <w:right w:val="single" w:color="auto" w:sz="4" w:space="0"/>
            </w:tcBorders>
            <w:shd w:val="clear" w:color="auto" w:fill="auto"/>
            <w:noWrap/>
            <w:vAlign w:val="center"/>
          </w:tcPr>
          <w:p>
            <w:pPr>
              <w:widowControl/>
              <w:jc w:val="right"/>
              <w:rPr>
                <w:rFonts w:cs="宋体"/>
                <w:kern w:val="0"/>
                <w:sz w:val="18"/>
                <w:szCs w:val="18"/>
              </w:rPr>
            </w:pPr>
            <w:r>
              <w:rPr>
                <w:rFonts w:hint="eastAsia" w:cs="宋体"/>
                <w:kern w:val="0"/>
                <w:sz w:val="18"/>
                <w:szCs w:val="18"/>
              </w:rPr>
              <w:t xml:space="preserve">808 </w:t>
            </w:r>
          </w:p>
        </w:tc>
        <w:tc>
          <w:tcPr>
            <w:tcW w:w="804" w:type="dxa"/>
            <w:tcBorders>
              <w:top w:val="nil"/>
              <w:left w:val="nil"/>
              <w:bottom w:val="single" w:color="auto" w:sz="4" w:space="0"/>
              <w:right w:val="single" w:color="auto" w:sz="4" w:space="0"/>
            </w:tcBorders>
            <w:shd w:val="clear" w:color="auto" w:fill="auto"/>
            <w:noWrap/>
            <w:vAlign w:val="center"/>
          </w:tcPr>
          <w:p>
            <w:pPr>
              <w:widowControl/>
              <w:jc w:val="right"/>
              <w:rPr>
                <w:rFonts w:cs="宋体"/>
                <w:kern w:val="0"/>
                <w:sz w:val="18"/>
                <w:szCs w:val="18"/>
              </w:rPr>
            </w:pPr>
            <w:r>
              <w:rPr>
                <w:rFonts w:hint="eastAsia" w:cs="宋体"/>
                <w:kern w:val="0"/>
                <w:sz w:val="18"/>
                <w:szCs w:val="18"/>
              </w:rPr>
              <w:t xml:space="preserve">91 </w:t>
            </w:r>
          </w:p>
        </w:tc>
        <w:tc>
          <w:tcPr>
            <w:tcW w:w="803" w:type="dxa"/>
            <w:tcBorders>
              <w:top w:val="nil"/>
              <w:left w:val="nil"/>
              <w:bottom w:val="single" w:color="auto" w:sz="4" w:space="0"/>
              <w:right w:val="single" w:color="auto" w:sz="4" w:space="0"/>
            </w:tcBorders>
            <w:shd w:val="clear" w:color="auto" w:fill="auto"/>
            <w:noWrap/>
            <w:vAlign w:val="center"/>
          </w:tcPr>
          <w:p>
            <w:pPr>
              <w:widowControl/>
              <w:jc w:val="right"/>
              <w:rPr>
                <w:rFonts w:cs="宋体"/>
                <w:kern w:val="0"/>
                <w:sz w:val="18"/>
                <w:szCs w:val="18"/>
              </w:rPr>
            </w:pPr>
            <w:r>
              <w:rPr>
                <w:rFonts w:hint="eastAsia" w:cs="宋体"/>
                <w:kern w:val="0"/>
                <w:sz w:val="18"/>
                <w:szCs w:val="18"/>
              </w:rPr>
              <w:t xml:space="preserve">439 </w:t>
            </w:r>
          </w:p>
        </w:tc>
        <w:tc>
          <w:tcPr>
            <w:tcW w:w="803" w:type="dxa"/>
            <w:tcBorders>
              <w:top w:val="nil"/>
              <w:left w:val="nil"/>
              <w:bottom w:val="single" w:color="auto" w:sz="4" w:space="0"/>
              <w:right w:val="single" w:color="auto" w:sz="4" w:space="0"/>
            </w:tcBorders>
            <w:shd w:val="clear" w:color="auto" w:fill="auto"/>
            <w:noWrap/>
            <w:vAlign w:val="center"/>
          </w:tcPr>
          <w:p>
            <w:pPr>
              <w:widowControl/>
              <w:jc w:val="right"/>
              <w:rPr>
                <w:rFonts w:cs="宋体"/>
                <w:kern w:val="0"/>
                <w:sz w:val="18"/>
                <w:szCs w:val="18"/>
              </w:rPr>
            </w:pPr>
            <w:r>
              <w:rPr>
                <w:rFonts w:hint="eastAsia" w:cs="宋体"/>
                <w:kern w:val="0"/>
                <w:sz w:val="18"/>
                <w:szCs w:val="18"/>
              </w:rPr>
              <w:t xml:space="preserve">253 </w:t>
            </w:r>
          </w:p>
        </w:tc>
        <w:tc>
          <w:tcPr>
            <w:tcW w:w="804" w:type="dxa"/>
            <w:tcBorders>
              <w:top w:val="nil"/>
              <w:left w:val="nil"/>
              <w:bottom w:val="single" w:color="auto" w:sz="4" w:space="0"/>
              <w:right w:val="single" w:color="auto" w:sz="4" w:space="0"/>
            </w:tcBorders>
            <w:shd w:val="clear" w:color="auto" w:fill="auto"/>
            <w:noWrap/>
            <w:vAlign w:val="center"/>
          </w:tcPr>
          <w:p>
            <w:pPr>
              <w:widowControl/>
              <w:jc w:val="right"/>
              <w:rPr>
                <w:rFonts w:cs="宋体"/>
                <w:kern w:val="0"/>
                <w:sz w:val="18"/>
                <w:szCs w:val="18"/>
              </w:rPr>
            </w:pPr>
            <w:r>
              <w:rPr>
                <w:rFonts w:hint="eastAsia" w:cs="宋体"/>
                <w:kern w:val="0"/>
                <w:sz w:val="18"/>
                <w:szCs w:val="18"/>
              </w:rPr>
              <w:t xml:space="preserve">2640 </w:t>
            </w:r>
          </w:p>
        </w:tc>
      </w:tr>
      <w:tr>
        <w:tblPrEx>
          <w:tblCellMar>
            <w:top w:w="0" w:type="dxa"/>
            <w:left w:w="108" w:type="dxa"/>
            <w:bottom w:w="0" w:type="dxa"/>
            <w:right w:w="108" w:type="dxa"/>
          </w:tblCellMar>
        </w:tblPrEx>
        <w:trPr>
          <w:trHeight w:val="240" w:hRule="atLeast"/>
        </w:trPr>
        <w:tc>
          <w:tcPr>
            <w:tcW w:w="1706" w:type="dxa"/>
            <w:tcBorders>
              <w:top w:val="nil"/>
              <w:left w:val="single" w:color="auto" w:sz="4" w:space="0"/>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工业用水</w:t>
            </w:r>
          </w:p>
        </w:tc>
        <w:tc>
          <w:tcPr>
            <w:tcW w:w="803" w:type="dxa"/>
            <w:tcBorders>
              <w:top w:val="nil"/>
              <w:left w:val="nil"/>
              <w:bottom w:val="single" w:color="auto" w:sz="4" w:space="0"/>
              <w:right w:val="single" w:color="auto" w:sz="4" w:space="0"/>
            </w:tcBorders>
            <w:shd w:val="clear" w:color="auto" w:fill="auto"/>
            <w:noWrap/>
            <w:vAlign w:val="center"/>
          </w:tcPr>
          <w:p>
            <w:pPr>
              <w:widowControl/>
              <w:jc w:val="right"/>
              <w:rPr>
                <w:rFonts w:cs="宋体"/>
                <w:kern w:val="0"/>
                <w:sz w:val="18"/>
                <w:szCs w:val="18"/>
              </w:rPr>
            </w:pPr>
            <w:r>
              <w:rPr>
                <w:rFonts w:hint="eastAsia" w:cs="宋体"/>
                <w:kern w:val="0"/>
                <w:sz w:val="18"/>
                <w:szCs w:val="18"/>
              </w:rPr>
              <w:t xml:space="preserve">1670 </w:t>
            </w:r>
          </w:p>
        </w:tc>
        <w:tc>
          <w:tcPr>
            <w:tcW w:w="803" w:type="dxa"/>
            <w:tcBorders>
              <w:top w:val="nil"/>
              <w:left w:val="nil"/>
              <w:bottom w:val="single" w:color="auto" w:sz="4" w:space="0"/>
              <w:right w:val="single" w:color="auto" w:sz="4" w:space="0"/>
            </w:tcBorders>
            <w:shd w:val="clear" w:color="auto" w:fill="auto"/>
            <w:noWrap/>
            <w:vAlign w:val="center"/>
          </w:tcPr>
          <w:p>
            <w:pPr>
              <w:widowControl/>
              <w:jc w:val="right"/>
              <w:rPr>
                <w:rFonts w:cs="宋体"/>
                <w:kern w:val="0"/>
                <w:sz w:val="18"/>
                <w:szCs w:val="18"/>
              </w:rPr>
            </w:pPr>
            <w:r>
              <w:rPr>
                <w:rFonts w:hint="eastAsia" w:cs="宋体"/>
                <w:kern w:val="0"/>
                <w:sz w:val="18"/>
                <w:szCs w:val="18"/>
              </w:rPr>
              <w:t xml:space="preserve">579 </w:t>
            </w:r>
          </w:p>
        </w:tc>
        <w:tc>
          <w:tcPr>
            <w:tcW w:w="804" w:type="dxa"/>
            <w:tcBorders>
              <w:top w:val="nil"/>
              <w:left w:val="nil"/>
              <w:bottom w:val="single" w:color="auto" w:sz="4" w:space="0"/>
              <w:right w:val="single" w:color="auto" w:sz="4" w:space="0"/>
            </w:tcBorders>
            <w:shd w:val="clear" w:color="auto" w:fill="auto"/>
            <w:noWrap/>
            <w:vAlign w:val="center"/>
          </w:tcPr>
          <w:p>
            <w:pPr>
              <w:widowControl/>
              <w:jc w:val="right"/>
              <w:rPr>
                <w:rFonts w:cs="宋体"/>
                <w:kern w:val="0"/>
                <w:sz w:val="18"/>
                <w:szCs w:val="18"/>
              </w:rPr>
            </w:pPr>
            <w:r>
              <w:rPr>
                <w:rFonts w:hint="eastAsia" w:cs="宋体"/>
                <w:kern w:val="0"/>
                <w:sz w:val="18"/>
                <w:szCs w:val="18"/>
              </w:rPr>
              <w:t xml:space="preserve">322 </w:t>
            </w:r>
          </w:p>
        </w:tc>
        <w:tc>
          <w:tcPr>
            <w:tcW w:w="803" w:type="dxa"/>
            <w:tcBorders>
              <w:top w:val="nil"/>
              <w:left w:val="nil"/>
              <w:bottom w:val="single" w:color="auto" w:sz="4" w:space="0"/>
              <w:right w:val="single" w:color="auto" w:sz="4" w:space="0"/>
            </w:tcBorders>
            <w:shd w:val="clear" w:color="auto" w:fill="auto"/>
            <w:noWrap/>
            <w:vAlign w:val="center"/>
          </w:tcPr>
          <w:p>
            <w:pPr>
              <w:widowControl/>
              <w:jc w:val="right"/>
              <w:rPr>
                <w:rFonts w:cs="宋体"/>
                <w:kern w:val="0"/>
                <w:sz w:val="18"/>
                <w:szCs w:val="18"/>
              </w:rPr>
            </w:pPr>
            <w:r>
              <w:rPr>
                <w:rFonts w:hint="eastAsia" w:cs="宋体"/>
                <w:kern w:val="0"/>
                <w:sz w:val="18"/>
                <w:szCs w:val="18"/>
              </w:rPr>
              <w:t xml:space="preserve">611 </w:t>
            </w:r>
          </w:p>
        </w:tc>
        <w:tc>
          <w:tcPr>
            <w:tcW w:w="803" w:type="dxa"/>
            <w:tcBorders>
              <w:top w:val="nil"/>
              <w:left w:val="nil"/>
              <w:bottom w:val="single" w:color="auto" w:sz="4" w:space="0"/>
              <w:right w:val="single" w:color="auto" w:sz="4" w:space="0"/>
            </w:tcBorders>
            <w:shd w:val="clear" w:color="auto" w:fill="auto"/>
            <w:noWrap/>
            <w:vAlign w:val="center"/>
          </w:tcPr>
          <w:p>
            <w:pPr>
              <w:widowControl/>
              <w:jc w:val="right"/>
              <w:rPr>
                <w:rFonts w:cs="宋体"/>
                <w:kern w:val="0"/>
                <w:sz w:val="18"/>
                <w:szCs w:val="18"/>
              </w:rPr>
            </w:pPr>
            <w:r>
              <w:rPr>
                <w:rFonts w:hint="eastAsia" w:cs="宋体"/>
                <w:kern w:val="0"/>
                <w:sz w:val="18"/>
                <w:szCs w:val="18"/>
              </w:rPr>
              <w:t xml:space="preserve">582 </w:t>
            </w:r>
          </w:p>
        </w:tc>
        <w:tc>
          <w:tcPr>
            <w:tcW w:w="804" w:type="dxa"/>
            <w:tcBorders>
              <w:top w:val="nil"/>
              <w:left w:val="nil"/>
              <w:bottom w:val="single" w:color="auto" w:sz="4" w:space="0"/>
              <w:right w:val="single" w:color="auto" w:sz="4" w:space="0"/>
            </w:tcBorders>
            <w:shd w:val="clear" w:color="auto" w:fill="auto"/>
            <w:noWrap/>
            <w:vAlign w:val="center"/>
          </w:tcPr>
          <w:p>
            <w:pPr>
              <w:widowControl/>
              <w:jc w:val="right"/>
              <w:rPr>
                <w:rFonts w:cs="宋体"/>
                <w:kern w:val="0"/>
                <w:sz w:val="18"/>
                <w:szCs w:val="18"/>
              </w:rPr>
            </w:pPr>
            <w:r>
              <w:rPr>
                <w:rFonts w:hint="eastAsia" w:cs="宋体"/>
                <w:kern w:val="0"/>
                <w:sz w:val="18"/>
                <w:szCs w:val="18"/>
              </w:rPr>
              <w:t xml:space="preserve">196 </w:t>
            </w:r>
          </w:p>
        </w:tc>
        <w:tc>
          <w:tcPr>
            <w:tcW w:w="803" w:type="dxa"/>
            <w:tcBorders>
              <w:top w:val="nil"/>
              <w:left w:val="nil"/>
              <w:bottom w:val="single" w:color="auto" w:sz="4" w:space="0"/>
              <w:right w:val="single" w:color="auto" w:sz="4" w:space="0"/>
            </w:tcBorders>
            <w:shd w:val="clear" w:color="auto" w:fill="auto"/>
            <w:noWrap/>
            <w:vAlign w:val="center"/>
          </w:tcPr>
          <w:p>
            <w:pPr>
              <w:widowControl/>
              <w:jc w:val="right"/>
              <w:rPr>
                <w:rFonts w:cs="宋体"/>
                <w:kern w:val="0"/>
                <w:sz w:val="18"/>
                <w:szCs w:val="18"/>
              </w:rPr>
            </w:pPr>
            <w:r>
              <w:rPr>
                <w:rFonts w:hint="eastAsia" w:cs="宋体"/>
                <w:kern w:val="0"/>
                <w:sz w:val="18"/>
                <w:szCs w:val="18"/>
              </w:rPr>
              <w:t xml:space="preserve">370 </w:t>
            </w:r>
          </w:p>
        </w:tc>
        <w:tc>
          <w:tcPr>
            <w:tcW w:w="803" w:type="dxa"/>
            <w:tcBorders>
              <w:top w:val="nil"/>
              <w:left w:val="nil"/>
              <w:bottom w:val="single" w:color="auto" w:sz="4" w:space="0"/>
              <w:right w:val="single" w:color="auto" w:sz="4" w:space="0"/>
            </w:tcBorders>
            <w:shd w:val="clear" w:color="auto" w:fill="auto"/>
            <w:noWrap/>
            <w:vAlign w:val="center"/>
          </w:tcPr>
          <w:p>
            <w:pPr>
              <w:widowControl/>
              <w:jc w:val="right"/>
              <w:rPr>
                <w:rFonts w:cs="宋体"/>
                <w:kern w:val="0"/>
                <w:sz w:val="18"/>
                <w:szCs w:val="18"/>
              </w:rPr>
            </w:pPr>
            <w:r>
              <w:rPr>
                <w:rFonts w:hint="eastAsia" w:cs="宋体"/>
                <w:kern w:val="0"/>
                <w:sz w:val="18"/>
                <w:szCs w:val="18"/>
              </w:rPr>
              <w:t xml:space="preserve">390 </w:t>
            </w:r>
          </w:p>
        </w:tc>
        <w:tc>
          <w:tcPr>
            <w:tcW w:w="804" w:type="dxa"/>
            <w:tcBorders>
              <w:top w:val="nil"/>
              <w:left w:val="nil"/>
              <w:bottom w:val="single" w:color="auto" w:sz="4" w:space="0"/>
              <w:right w:val="single" w:color="auto" w:sz="4" w:space="0"/>
            </w:tcBorders>
            <w:shd w:val="clear" w:color="auto" w:fill="auto"/>
            <w:noWrap/>
            <w:vAlign w:val="center"/>
          </w:tcPr>
          <w:p>
            <w:pPr>
              <w:widowControl/>
              <w:jc w:val="right"/>
              <w:rPr>
                <w:rFonts w:cs="宋体"/>
                <w:kern w:val="0"/>
                <w:sz w:val="18"/>
                <w:szCs w:val="18"/>
              </w:rPr>
            </w:pPr>
            <w:r>
              <w:rPr>
                <w:rFonts w:hint="eastAsia" w:cs="宋体"/>
                <w:kern w:val="0"/>
                <w:sz w:val="18"/>
                <w:szCs w:val="18"/>
              </w:rPr>
              <w:t xml:space="preserve">4719 </w:t>
            </w:r>
          </w:p>
        </w:tc>
      </w:tr>
      <w:tr>
        <w:tblPrEx>
          <w:tblCellMar>
            <w:top w:w="0" w:type="dxa"/>
            <w:left w:w="108" w:type="dxa"/>
            <w:bottom w:w="0" w:type="dxa"/>
            <w:right w:w="108" w:type="dxa"/>
          </w:tblCellMar>
        </w:tblPrEx>
        <w:trPr>
          <w:trHeight w:val="240" w:hRule="atLeast"/>
        </w:trPr>
        <w:tc>
          <w:tcPr>
            <w:tcW w:w="1706" w:type="dxa"/>
            <w:tcBorders>
              <w:top w:val="nil"/>
              <w:left w:val="single" w:color="auto" w:sz="4" w:space="0"/>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城镇公共用水量</w:t>
            </w:r>
          </w:p>
        </w:tc>
        <w:tc>
          <w:tcPr>
            <w:tcW w:w="803" w:type="dxa"/>
            <w:tcBorders>
              <w:top w:val="nil"/>
              <w:left w:val="nil"/>
              <w:bottom w:val="single" w:color="auto" w:sz="4" w:space="0"/>
              <w:right w:val="single" w:color="auto" w:sz="4" w:space="0"/>
            </w:tcBorders>
            <w:shd w:val="clear" w:color="auto" w:fill="auto"/>
            <w:noWrap/>
            <w:vAlign w:val="center"/>
          </w:tcPr>
          <w:p>
            <w:pPr>
              <w:widowControl/>
              <w:jc w:val="right"/>
              <w:rPr>
                <w:rFonts w:cs="宋体"/>
                <w:kern w:val="0"/>
                <w:sz w:val="18"/>
                <w:szCs w:val="18"/>
              </w:rPr>
            </w:pPr>
            <w:r>
              <w:rPr>
                <w:rFonts w:hint="eastAsia" w:cs="宋体"/>
                <w:kern w:val="0"/>
                <w:sz w:val="18"/>
                <w:szCs w:val="18"/>
              </w:rPr>
              <w:t xml:space="preserve">656 </w:t>
            </w:r>
          </w:p>
        </w:tc>
        <w:tc>
          <w:tcPr>
            <w:tcW w:w="803" w:type="dxa"/>
            <w:tcBorders>
              <w:top w:val="nil"/>
              <w:left w:val="nil"/>
              <w:bottom w:val="single" w:color="auto" w:sz="4" w:space="0"/>
              <w:right w:val="single" w:color="auto" w:sz="4" w:space="0"/>
            </w:tcBorders>
            <w:shd w:val="clear" w:color="auto" w:fill="auto"/>
            <w:noWrap/>
            <w:vAlign w:val="center"/>
          </w:tcPr>
          <w:p>
            <w:pPr>
              <w:widowControl/>
              <w:jc w:val="right"/>
              <w:rPr>
                <w:rFonts w:cs="宋体"/>
                <w:kern w:val="0"/>
                <w:sz w:val="18"/>
                <w:szCs w:val="18"/>
              </w:rPr>
            </w:pPr>
            <w:r>
              <w:rPr>
                <w:rFonts w:hint="eastAsia" w:cs="宋体"/>
                <w:kern w:val="0"/>
                <w:sz w:val="18"/>
                <w:szCs w:val="18"/>
              </w:rPr>
              <w:t xml:space="preserve">223 </w:t>
            </w:r>
          </w:p>
        </w:tc>
        <w:tc>
          <w:tcPr>
            <w:tcW w:w="804" w:type="dxa"/>
            <w:tcBorders>
              <w:top w:val="nil"/>
              <w:left w:val="nil"/>
              <w:bottom w:val="single" w:color="auto" w:sz="4" w:space="0"/>
              <w:right w:val="single" w:color="auto" w:sz="4" w:space="0"/>
            </w:tcBorders>
            <w:shd w:val="clear" w:color="auto" w:fill="auto"/>
            <w:noWrap/>
            <w:vAlign w:val="center"/>
          </w:tcPr>
          <w:p>
            <w:pPr>
              <w:widowControl/>
              <w:jc w:val="right"/>
              <w:rPr>
                <w:rFonts w:cs="宋体"/>
                <w:kern w:val="0"/>
                <w:sz w:val="18"/>
                <w:szCs w:val="18"/>
              </w:rPr>
            </w:pPr>
            <w:r>
              <w:rPr>
                <w:rFonts w:hint="eastAsia" w:cs="宋体"/>
                <w:kern w:val="0"/>
                <w:sz w:val="18"/>
                <w:szCs w:val="18"/>
              </w:rPr>
              <w:t xml:space="preserve">364 </w:t>
            </w:r>
          </w:p>
        </w:tc>
        <w:tc>
          <w:tcPr>
            <w:tcW w:w="803" w:type="dxa"/>
            <w:tcBorders>
              <w:top w:val="nil"/>
              <w:left w:val="nil"/>
              <w:bottom w:val="single" w:color="auto" w:sz="4" w:space="0"/>
              <w:right w:val="single" w:color="auto" w:sz="4" w:space="0"/>
            </w:tcBorders>
            <w:shd w:val="clear" w:color="auto" w:fill="auto"/>
            <w:noWrap/>
            <w:vAlign w:val="center"/>
          </w:tcPr>
          <w:p>
            <w:pPr>
              <w:widowControl/>
              <w:jc w:val="right"/>
              <w:rPr>
                <w:rFonts w:cs="宋体"/>
                <w:kern w:val="0"/>
                <w:sz w:val="18"/>
                <w:szCs w:val="18"/>
              </w:rPr>
            </w:pPr>
            <w:r>
              <w:rPr>
                <w:rFonts w:hint="eastAsia" w:cs="宋体"/>
                <w:kern w:val="0"/>
                <w:sz w:val="18"/>
                <w:szCs w:val="18"/>
              </w:rPr>
              <w:t xml:space="preserve">226 </w:t>
            </w:r>
          </w:p>
        </w:tc>
        <w:tc>
          <w:tcPr>
            <w:tcW w:w="803" w:type="dxa"/>
            <w:tcBorders>
              <w:top w:val="nil"/>
              <w:left w:val="nil"/>
              <w:bottom w:val="single" w:color="auto" w:sz="4" w:space="0"/>
              <w:right w:val="single" w:color="auto" w:sz="4" w:space="0"/>
            </w:tcBorders>
            <w:shd w:val="clear" w:color="auto" w:fill="auto"/>
            <w:noWrap/>
            <w:vAlign w:val="center"/>
          </w:tcPr>
          <w:p>
            <w:pPr>
              <w:widowControl/>
              <w:jc w:val="right"/>
              <w:rPr>
                <w:rFonts w:cs="宋体"/>
                <w:kern w:val="0"/>
                <w:sz w:val="18"/>
                <w:szCs w:val="18"/>
              </w:rPr>
            </w:pPr>
            <w:r>
              <w:rPr>
                <w:rFonts w:hint="eastAsia" w:cs="宋体"/>
                <w:kern w:val="0"/>
                <w:sz w:val="18"/>
                <w:szCs w:val="18"/>
              </w:rPr>
              <w:t xml:space="preserve">225 </w:t>
            </w:r>
          </w:p>
        </w:tc>
        <w:tc>
          <w:tcPr>
            <w:tcW w:w="804" w:type="dxa"/>
            <w:tcBorders>
              <w:top w:val="nil"/>
              <w:left w:val="nil"/>
              <w:bottom w:val="single" w:color="auto" w:sz="4" w:space="0"/>
              <w:right w:val="single" w:color="auto" w:sz="4" w:space="0"/>
            </w:tcBorders>
            <w:shd w:val="clear" w:color="auto" w:fill="auto"/>
            <w:noWrap/>
            <w:vAlign w:val="center"/>
          </w:tcPr>
          <w:p>
            <w:pPr>
              <w:widowControl/>
              <w:jc w:val="right"/>
              <w:rPr>
                <w:rFonts w:cs="宋体"/>
                <w:kern w:val="0"/>
                <w:sz w:val="18"/>
                <w:szCs w:val="18"/>
              </w:rPr>
            </w:pPr>
            <w:r>
              <w:rPr>
                <w:rFonts w:hint="eastAsia" w:cs="宋体"/>
                <w:kern w:val="0"/>
                <w:sz w:val="18"/>
                <w:szCs w:val="18"/>
              </w:rPr>
              <w:t xml:space="preserve">90 </w:t>
            </w:r>
          </w:p>
        </w:tc>
        <w:tc>
          <w:tcPr>
            <w:tcW w:w="803" w:type="dxa"/>
            <w:tcBorders>
              <w:top w:val="nil"/>
              <w:left w:val="nil"/>
              <w:bottom w:val="single" w:color="auto" w:sz="4" w:space="0"/>
              <w:right w:val="single" w:color="auto" w:sz="4" w:space="0"/>
            </w:tcBorders>
            <w:shd w:val="clear" w:color="auto" w:fill="auto"/>
            <w:noWrap/>
            <w:vAlign w:val="center"/>
          </w:tcPr>
          <w:p>
            <w:pPr>
              <w:widowControl/>
              <w:jc w:val="right"/>
              <w:rPr>
                <w:rFonts w:cs="宋体"/>
                <w:kern w:val="0"/>
                <w:sz w:val="18"/>
                <w:szCs w:val="18"/>
              </w:rPr>
            </w:pPr>
            <w:r>
              <w:rPr>
                <w:rFonts w:hint="eastAsia" w:cs="宋体"/>
                <w:kern w:val="0"/>
                <w:sz w:val="18"/>
                <w:szCs w:val="18"/>
              </w:rPr>
              <w:t xml:space="preserve">304 </w:t>
            </w:r>
          </w:p>
        </w:tc>
        <w:tc>
          <w:tcPr>
            <w:tcW w:w="803" w:type="dxa"/>
            <w:tcBorders>
              <w:top w:val="nil"/>
              <w:left w:val="nil"/>
              <w:bottom w:val="single" w:color="auto" w:sz="4" w:space="0"/>
              <w:right w:val="single" w:color="auto" w:sz="4" w:space="0"/>
            </w:tcBorders>
            <w:shd w:val="clear" w:color="auto" w:fill="auto"/>
            <w:noWrap/>
            <w:vAlign w:val="center"/>
          </w:tcPr>
          <w:p>
            <w:pPr>
              <w:widowControl/>
              <w:jc w:val="right"/>
              <w:rPr>
                <w:rFonts w:cs="宋体"/>
                <w:kern w:val="0"/>
                <w:sz w:val="18"/>
                <w:szCs w:val="18"/>
              </w:rPr>
            </w:pPr>
            <w:r>
              <w:rPr>
                <w:rFonts w:hint="eastAsia" w:cs="宋体"/>
                <w:kern w:val="0"/>
                <w:sz w:val="18"/>
                <w:szCs w:val="18"/>
              </w:rPr>
              <w:t xml:space="preserve">319 </w:t>
            </w:r>
          </w:p>
        </w:tc>
        <w:tc>
          <w:tcPr>
            <w:tcW w:w="804" w:type="dxa"/>
            <w:tcBorders>
              <w:top w:val="nil"/>
              <w:left w:val="nil"/>
              <w:bottom w:val="single" w:color="auto" w:sz="4" w:space="0"/>
              <w:right w:val="single" w:color="auto" w:sz="4" w:space="0"/>
            </w:tcBorders>
            <w:shd w:val="clear" w:color="auto" w:fill="auto"/>
            <w:noWrap/>
            <w:vAlign w:val="center"/>
          </w:tcPr>
          <w:p>
            <w:pPr>
              <w:widowControl/>
              <w:jc w:val="right"/>
              <w:rPr>
                <w:rFonts w:cs="宋体"/>
                <w:kern w:val="0"/>
                <w:sz w:val="18"/>
                <w:szCs w:val="18"/>
              </w:rPr>
            </w:pPr>
            <w:r>
              <w:rPr>
                <w:rFonts w:hint="eastAsia" w:cs="宋体"/>
                <w:kern w:val="0"/>
                <w:sz w:val="18"/>
                <w:szCs w:val="18"/>
              </w:rPr>
              <w:t xml:space="preserve">2407 </w:t>
            </w:r>
          </w:p>
        </w:tc>
      </w:tr>
      <w:tr>
        <w:tblPrEx>
          <w:tblCellMar>
            <w:top w:w="0" w:type="dxa"/>
            <w:left w:w="108" w:type="dxa"/>
            <w:bottom w:w="0" w:type="dxa"/>
            <w:right w:w="108" w:type="dxa"/>
          </w:tblCellMar>
        </w:tblPrEx>
        <w:trPr>
          <w:trHeight w:val="240" w:hRule="atLeast"/>
        </w:trPr>
        <w:tc>
          <w:tcPr>
            <w:tcW w:w="1706" w:type="dxa"/>
            <w:tcBorders>
              <w:top w:val="nil"/>
              <w:left w:val="single" w:color="auto" w:sz="4" w:space="0"/>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居民生活用水量</w:t>
            </w:r>
          </w:p>
        </w:tc>
        <w:tc>
          <w:tcPr>
            <w:tcW w:w="803" w:type="dxa"/>
            <w:tcBorders>
              <w:top w:val="nil"/>
              <w:left w:val="nil"/>
              <w:bottom w:val="single" w:color="auto" w:sz="4" w:space="0"/>
              <w:right w:val="single" w:color="auto" w:sz="4" w:space="0"/>
            </w:tcBorders>
            <w:shd w:val="clear" w:color="auto" w:fill="auto"/>
            <w:noWrap/>
            <w:vAlign w:val="center"/>
          </w:tcPr>
          <w:p>
            <w:pPr>
              <w:widowControl/>
              <w:jc w:val="right"/>
              <w:rPr>
                <w:rFonts w:cs="宋体"/>
                <w:kern w:val="0"/>
                <w:sz w:val="18"/>
                <w:szCs w:val="18"/>
              </w:rPr>
            </w:pPr>
            <w:r>
              <w:rPr>
                <w:rFonts w:hint="eastAsia" w:cs="宋体"/>
                <w:kern w:val="0"/>
                <w:sz w:val="18"/>
                <w:szCs w:val="18"/>
              </w:rPr>
              <w:t xml:space="preserve">1746 </w:t>
            </w:r>
          </w:p>
        </w:tc>
        <w:tc>
          <w:tcPr>
            <w:tcW w:w="803" w:type="dxa"/>
            <w:tcBorders>
              <w:top w:val="nil"/>
              <w:left w:val="nil"/>
              <w:bottom w:val="single" w:color="auto" w:sz="4" w:space="0"/>
              <w:right w:val="single" w:color="auto" w:sz="4" w:space="0"/>
            </w:tcBorders>
            <w:shd w:val="clear" w:color="auto" w:fill="auto"/>
            <w:noWrap/>
            <w:vAlign w:val="center"/>
          </w:tcPr>
          <w:p>
            <w:pPr>
              <w:widowControl/>
              <w:jc w:val="right"/>
              <w:rPr>
                <w:rFonts w:cs="宋体"/>
                <w:kern w:val="0"/>
                <w:sz w:val="18"/>
                <w:szCs w:val="18"/>
              </w:rPr>
            </w:pPr>
            <w:r>
              <w:rPr>
                <w:rFonts w:hint="eastAsia" w:cs="宋体"/>
                <w:kern w:val="0"/>
                <w:sz w:val="18"/>
                <w:szCs w:val="18"/>
              </w:rPr>
              <w:t xml:space="preserve">1318 </w:t>
            </w:r>
          </w:p>
        </w:tc>
        <w:tc>
          <w:tcPr>
            <w:tcW w:w="804" w:type="dxa"/>
            <w:tcBorders>
              <w:top w:val="nil"/>
              <w:left w:val="nil"/>
              <w:bottom w:val="single" w:color="auto" w:sz="4" w:space="0"/>
              <w:right w:val="single" w:color="auto" w:sz="4" w:space="0"/>
            </w:tcBorders>
            <w:shd w:val="clear" w:color="auto" w:fill="auto"/>
            <w:noWrap/>
            <w:vAlign w:val="center"/>
          </w:tcPr>
          <w:p>
            <w:pPr>
              <w:widowControl/>
              <w:jc w:val="right"/>
              <w:rPr>
                <w:rFonts w:cs="宋体"/>
                <w:kern w:val="0"/>
                <w:sz w:val="18"/>
                <w:szCs w:val="18"/>
              </w:rPr>
            </w:pPr>
            <w:r>
              <w:rPr>
                <w:rFonts w:hint="eastAsia" w:cs="宋体"/>
                <w:kern w:val="0"/>
                <w:sz w:val="18"/>
                <w:szCs w:val="18"/>
              </w:rPr>
              <w:t xml:space="preserve">1574 </w:t>
            </w:r>
          </w:p>
        </w:tc>
        <w:tc>
          <w:tcPr>
            <w:tcW w:w="803" w:type="dxa"/>
            <w:tcBorders>
              <w:top w:val="nil"/>
              <w:left w:val="nil"/>
              <w:bottom w:val="single" w:color="auto" w:sz="4" w:space="0"/>
              <w:right w:val="single" w:color="auto" w:sz="4" w:space="0"/>
            </w:tcBorders>
            <w:shd w:val="clear" w:color="auto" w:fill="auto"/>
            <w:noWrap/>
            <w:vAlign w:val="center"/>
          </w:tcPr>
          <w:p>
            <w:pPr>
              <w:widowControl/>
              <w:jc w:val="right"/>
              <w:rPr>
                <w:rFonts w:cs="宋体"/>
                <w:kern w:val="0"/>
                <w:sz w:val="18"/>
                <w:szCs w:val="18"/>
              </w:rPr>
            </w:pPr>
            <w:r>
              <w:rPr>
                <w:rFonts w:hint="eastAsia" w:cs="宋体"/>
                <w:kern w:val="0"/>
                <w:sz w:val="18"/>
                <w:szCs w:val="18"/>
              </w:rPr>
              <w:t xml:space="preserve">1271 </w:t>
            </w:r>
          </w:p>
        </w:tc>
        <w:tc>
          <w:tcPr>
            <w:tcW w:w="803" w:type="dxa"/>
            <w:tcBorders>
              <w:top w:val="nil"/>
              <w:left w:val="nil"/>
              <w:bottom w:val="single" w:color="auto" w:sz="4" w:space="0"/>
              <w:right w:val="single" w:color="auto" w:sz="4" w:space="0"/>
            </w:tcBorders>
            <w:shd w:val="clear" w:color="auto" w:fill="auto"/>
            <w:noWrap/>
            <w:vAlign w:val="center"/>
          </w:tcPr>
          <w:p>
            <w:pPr>
              <w:widowControl/>
              <w:jc w:val="right"/>
              <w:rPr>
                <w:rFonts w:cs="宋体"/>
                <w:kern w:val="0"/>
                <w:sz w:val="18"/>
                <w:szCs w:val="18"/>
              </w:rPr>
            </w:pPr>
            <w:r>
              <w:rPr>
                <w:rFonts w:hint="eastAsia" w:cs="宋体"/>
                <w:kern w:val="0"/>
                <w:sz w:val="18"/>
                <w:szCs w:val="18"/>
              </w:rPr>
              <w:t xml:space="preserve">1289 </w:t>
            </w:r>
          </w:p>
        </w:tc>
        <w:tc>
          <w:tcPr>
            <w:tcW w:w="804" w:type="dxa"/>
            <w:tcBorders>
              <w:top w:val="nil"/>
              <w:left w:val="nil"/>
              <w:bottom w:val="single" w:color="auto" w:sz="4" w:space="0"/>
              <w:right w:val="single" w:color="auto" w:sz="4" w:space="0"/>
            </w:tcBorders>
            <w:shd w:val="clear" w:color="auto" w:fill="auto"/>
            <w:noWrap/>
            <w:vAlign w:val="center"/>
          </w:tcPr>
          <w:p>
            <w:pPr>
              <w:widowControl/>
              <w:jc w:val="right"/>
              <w:rPr>
                <w:rFonts w:cs="宋体"/>
                <w:kern w:val="0"/>
                <w:sz w:val="18"/>
                <w:szCs w:val="18"/>
              </w:rPr>
            </w:pPr>
            <w:r>
              <w:rPr>
                <w:rFonts w:hint="eastAsia" w:cs="宋体"/>
                <w:kern w:val="0"/>
                <w:sz w:val="18"/>
                <w:szCs w:val="18"/>
              </w:rPr>
              <w:t xml:space="preserve">590 </w:t>
            </w:r>
          </w:p>
        </w:tc>
        <w:tc>
          <w:tcPr>
            <w:tcW w:w="803" w:type="dxa"/>
            <w:tcBorders>
              <w:top w:val="nil"/>
              <w:left w:val="nil"/>
              <w:bottom w:val="single" w:color="auto" w:sz="4" w:space="0"/>
              <w:right w:val="single" w:color="auto" w:sz="4" w:space="0"/>
            </w:tcBorders>
            <w:shd w:val="clear" w:color="auto" w:fill="auto"/>
            <w:noWrap/>
            <w:vAlign w:val="center"/>
          </w:tcPr>
          <w:p>
            <w:pPr>
              <w:widowControl/>
              <w:jc w:val="right"/>
              <w:rPr>
                <w:rFonts w:cs="宋体"/>
                <w:kern w:val="0"/>
                <w:sz w:val="18"/>
                <w:szCs w:val="18"/>
              </w:rPr>
            </w:pPr>
            <w:r>
              <w:rPr>
                <w:rFonts w:hint="eastAsia" w:cs="宋体"/>
                <w:kern w:val="0"/>
                <w:sz w:val="18"/>
                <w:szCs w:val="18"/>
              </w:rPr>
              <w:t xml:space="preserve">2015 </w:t>
            </w:r>
          </w:p>
        </w:tc>
        <w:tc>
          <w:tcPr>
            <w:tcW w:w="803" w:type="dxa"/>
            <w:tcBorders>
              <w:top w:val="nil"/>
              <w:left w:val="nil"/>
              <w:bottom w:val="single" w:color="auto" w:sz="4" w:space="0"/>
              <w:right w:val="single" w:color="auto" w:sz="4" w:space="0"/>
            </w:tcBorders>
            <w:shd w:val="clear" w:color="auto" w:fill="auto"/>
            <w:noWrap/>
            <w:vAlign w:val="center"/>
          </w:tcPr>
          <w:p>
            <w:pPr>
              <w:widowControl/>
              <w:jc w:val="right"/>
              <w:rPr>
                <w:rFonts w:cs="宋体"/>
                <w:kern w:val="0"/>
                <w:sz w:val="18"/>
                <w:szCs w:val="18"/>
              </w:rPr>
            </w:pPr>
            <w:r>
              <w:rPr>
                <w:rFonts w:hint="eastAsia" w:cs="宋体"/>
                <w:kern w:val="0"/>
                <w:sz w:val="18"/>
                <w:szCs w:val="18"/>
              </w:rPr>
              <w:t xml:space="preserve">2525 </w:t>
            </w:r>
          </w:p>
        </w:tc>
        <w:tc>
          <w:tcPr>
            <w:tcW w:w="804" w:type="dxa"/>
            <w:tcBorders>
              <w:top w:val="nil"/>
              <w:left w:val="nil"/>
              <w:bottom w:val="single" w:color="auto" w:sz="4" w:space="0"/>
              <w:right w:val="single" w:color="auto" w:sz="4" w:space="0"/>
            </w:tcBorders>
            <w:shd w:val="clear" w:color="auto" w:fill="auto"/>
            <w:noWrap/>
            <w:vAlign w:val="center"/>
          </w:tcPr>
          <w:p>
            <w:pPr>
              <w:widowControl/>
              <w:jc w:val="right"/>
              <w:rPr>
                <w:rFonts w:cs="宋体"/>
                <w:kern w:val="0"/>
                <w:sz w:val="18"/>
                <w:szCs w:val="18"/>
              </w:rPr>
            </w:pPr>
            <w:r>
              <w:rPr>
                <w:rFonts w:hint="eastAsia" w:cs="宋体"/>
                <w:kern w:val="0"/>
                <w:sz w:val="18"/>
                <w:szCs w:val="18"/>
              </w:rPr>
              <w:t xml:space="preserve">12327 </w:t>
            </w:r>
          </w:p>
        </w:tc>
      </w:tr>
      <w:tr>
        <w:tblPrEx>
          <w:tblCellMar>
            <w:top w:w="0" w:type="dxa"/>
            <w:left w:w="108" w:type="dxa"/>
            <w:bottom w:w="0" w:type="dxa"/>
            <w:right w:w="108" w:type="dxa"/>
          </w:tblCellMar>
        </w:tblPrEx>
        <w:trPr>
          <w:trHeight w:val="240" w:hRule="atLeast"/>
        </w:trPr>
        <w:tc>
          <w:tcPr>
            <w:tcW w:w="1706" w:type="dxa"/>
            <w:tcBorders>
              <w:top w:val="nil"/>
              <w:left w:val="single" w:color="auto" w:sz="4" w:space="0"/>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生态与环境</w:t>
            </w:r>
          </w:p>
        </w:tc>
        <w:tc>
          <w:tcPr>
            <w:tcW w:w="803" w:type="dxa"/>
            <w:tcBorders>
              <w:top w:val="nil"/>
              <w:left w:val="nil"/>
              <w:bottom w:val="single" w:color="auto" w:sz="4" w:space="0"/>
              <w:right w:val="single" w:color="auto" w:sz="4" w:space="0"/>
            </w:tcBorders>
            <w:shd w:val="clear" w:color="auto" w:fill="auto"/>
            <w:noWrap/>
            <w:vAlign w:val="center"/>
          </w:tcPr>
          <w:p>
            <w:pPr>
              <w:widowControl/>
              <w:jc w:val="right"/>
              <w:rPr>
                <w:rFonts w:cs="宋体"/>
                <w:kern w:val="0"/>
                <w:sz w:val="18"/>
                <w:szCs w:val="18"/>
              </w:rPr>
            </w:pPr>
            <w:r>
              <w:rPr>
                <w:rFonts w:hint="eastAsia" w:cs="宋体"/>
                <w:kern w:val="0"/>
                <w:sz w:val="18"/>
                <w:szCs w:val="18"/>
              </w:rPr>
              <w:t xml:space="preserve">340 </w:t>
            </w:r>
          </w:p>
        </w:tc>
        <w:tc>
          <w:tcPr>
            <w:tcW w:w="803" w:type="dxa"/>
            <w:tcBorders>
              <w:top w:val="nil"/>
              <w:left w:val="nil"/>
              <w:bottom w:val="single" w:color="auto" w:sz="4" w:space="0"/>
              <w:right w:val="single" w:color="auto" w:sz="4" w:space="0"/>
            </w:tcBorders>
            <w:shd w:val="clear" w:color="auto" w:fill="auto"/>
            <w:noWrap/>
            <w:vAlign w:val="center"/>
          </w:tcPr>
          <w:p>
            <w:pPr>
              <w:widowControl/>
              <w:jc w:val="right"/>
              <w:rPr>
                <w:rFonts w:cs="宋体"/>
                <w:kern w:val="0"/>
                <w:sz w:val="18"/>
                <w:szCs w:val="18"/>
              </w:rPr>
            </w:pPr>
            <w:r>
              <w:rPr>
                <w:rFonts w:hint="eastAsia" w:cs="宋体"/>
                <w:kern w:val="0"/>
                <w:sz w:val="18"/>
                <w:szCs w:val="18"/>
              </w:rPr>
              <w:t xml:space="preserve">106 </w:t>
            </w:r>
          </w:p>
        </w:tc>
        <w:tc>
          <w:tcPr>
            <w:tcW w:w="804" w:type="dxa"/>
            <w:tcBorders>
              <w:top w:val="nil"/>
              <w:left w:val="nil"/>
              <w:bottom w:val="single" w:color="auto" w:sz="4" w:space="0"/>
              <w:right w:val="single" w:color="auto" w:sz="4" w:space="0"/>
            </w:tcBorders>
            <w:shd w:val="clear" w:color="auto" w:fill="auto"/>
            <w:noWrap/>
            <w:vAlign w:val="center"/>
          </w:tcPr>
          <w:p>
            <w:pPr>
              <w:widowControl/>
              <w:jc w:val="right"/>
              <w:rPr>
                <w:rFonts w:cs="宋体"/>
                <w:kern w:val="0"/>
                <w:sz w:val="18"/>
                <w:szCs w:val="18"/>
              </w:rPr>
            </w:pPr>
            <w:r>
              <w:rPr>
                <w:rFonts w:hint="eastAsia" w:cs="宋体"/>
                <w:kern w:val="0"/>
                <w:sz w:val="18"/>
                <w:szCs w:val="18"/>
              </w:rPr>
              <w:t xml:space="preserve">104 </w:t>
            </w:r>
          </w:p>
        </w:tc>
        <w:tc>
          <w:tcPr>
            <w:tcW w:w="803" w:type="dxa"/>
            <w:tcBorders>
              <w:top w:val="nil"/>
              <w:left w:val="nil"/>
              <w:bottom w:val="single" w:color="auto" w:sz="4" w:space="0"/>
              <w:right w:val="single" w:color="auto" w:sz="4" w:space="0"/>
            </w:tcBorders>
            <w:shd w:val="clear" w:color="auto" w:fill="auto"/>
            <w:noWrap/>
            <w:vAlign w:val="center"/>
          </w:tcPr>
          <w:p>
            <w:pPr>
              <w:widowControl/>
              <w:jc w:val="right"/>
              <w:rPr>
                <w:rFonts w:cs="宋体"/>
                <w:kern w:val="0"/>
                <w:sz w:val="18"/>
                <w:szCs w:val="18"/>
              </w:rPr>
            </w:pPr>
            <w:r>
              <w:rPr>
                <w:rFonts w:hint="eastAsia" w:cs="宋体"/>
                <w:kern w:val="0"/>
                <w:sz w:val="18"/>
                <w:szCs w:val="18"/>
              </w:rPr>
              <w:t xml:space="preserve">195 </w:t>
            </w:r>
          </w:p>
        </w:tc>
        <w:tc>
          <w:tcPr>
            <w:tcW w:w="803" w:type="dxa"/>
            <w:tcBorders>
              <w:top w:val="nil"/>
              <w:left w:val="nil"/>
              <w:bottom w:val="single" w:color="auto" w:sz="4" w:space="0"/>
              <w:right w:val="single" w:color="auto" w:sz="4" w:space="0"/>
            </w:tcBorders>
            <w:shd w:val="clear" w:color="auto" w:fill="auto"/>
            <w:noWrap/>
            <w:vAlign w:val="center"/>
          </w:tcPr>
          <w:p>
            <w:pPr>
              <w:widowControl/>
              <w:jc w:val="right"/>
              <w:rPr>
                <w:rFonts w:cs="宋体"/>
                <w:kern w:val="0"/>
                <w:sz w:val="18"/>
                <w:szCs w:val="18"/>
              </w:rPr>
            </w:pPr>
            <w:r>
              <w:rPr>
                <w:rFonts w:hint="eastAsia" w:cs="宋体"/>
                <w:kern w:val="0"/>
                <w:sz w:val="18"/>
                <w:szCs w:val="18"/>
              </w:rPr>
              <w:t xml:space="preserve">54 </w:t>
            </w:r>
          </w:p>
        </w:tc>
        <w:tc>
          <w:tcPr>
            <w:tcW w:w="804" w:type="dxa"/>
            <w:tcBorders>
              <w:top w:val="nil"/>
              <w:left w:val="nil"/>
              <w:bottom w:val="single" w:color="auto" w:sz="4" w:space="0"/>
              <w:right w:val="single" w:color="auto" w:sz="4" w:space="0"/>
            </w:tcBorders>
            <w:shd w:val="clear" w:color="auto" w:fill="auto"/>
            <w:noWrap/>
            <w:vAlign w:val="center"/>
          </w:tcPr>
          <w:p>
            <w:pPr>
              <w:widowControl/>
              <w:jc w:val="right"/>
              <w:rPr>
                <w:rFonts w:cs="宋体"/>
                <w:kern w:val="0"/>
                <w:sz w:val="18"/>
                <w:szCs w:val="18"/>
              </w:rPr>
            </w:pPr>
            <w:r>
              <w:rPr>
                <w:rFonts w:hint="eastAsia" w:cs="宋体"/>
                <w:kern w:val="0"/>
                <w:sz w:val="18"/>
                <w:szCs w:val="18"/>
              </w:rPr>
              <w:t xml:space="preserve">29 </w:t>
            </w:r>
          </w:p>
        </w:tc>
        <w:tc>
          <w:tcPr>
            <w:tcW w:w="803" w:type="dxa"/>
            <w:tcBorders>
              <w:top w:val="nil"/>
              <w:left w:val="nil"/>
              <w:bottom w:val="single" w:color="auto" w:sz="4" w:space="0"/>
              <w:right w:val="single" w:color="auto" w:sz="4" w:space="0"/>
            </w:tcBorders>
            <w:shd w:val="clear" w:color="auto" w:fill="auto"/>
            <w:noWrap/>
            <w:vAlign w:val="center"/>
          </w:tcPr>
          <w:p>
            <w:pPr>
              <w:widowControl/>
              <w:jc w:val="right"/>
              <w:rPr>
                <w:rFonts w:cs="宋体"/>
                <w:kern w:val="0"/>
                <w:sz w:val="18"/>
                <w:szCs w:val="18"/>
              </w:rPr>
            </w:pPr>
            <w:r>
              <w:rPr>
                <w:rFonts w:hint="eastAsia" w:cs="宋体"/>
                <w:kern w:val="0"/>
                <w:sz w:val="18"/>
                <w:szCs w:val="18"/>
              </w:rPr>
              <w:t xml:space="preserve">101 </w:t>
            </w:r>
          </w:p>
        </w:tc>
        <w:tc>
          <w:tcPr>
            <w:tcW w:w="803" w:type="dxa"/>
            <w:tcBorders>
              <w:top w:val="nil"/>
              <w:left w:val="nil"/>
              <w:bottom w:val="single" w:color="auto" w:sz="4" w:space="0"/>
              <w:right w:val="single" w:color="auto" w:sz="4" w:space="0"/>
            </w:tcBorders>
            <w:shd w:val="clear" w:color="auto" w:fill="auto"/>
            <w:noWrap/>
            <w:vAlign w:val="center"/>
          </w:tcPr>
          <w:p>
            <w:pPr>
              <w:widowControl/>
              <w:jc w:val="right"/>
              <w:rPr>
                <w:rFonts w:cs="宋体"/>
                <w:kern w:val="0"/>
                <w:sz w:val="18"/>
                <w:szCs w:val="18"/>
              </w:rPr>
            </w:pPr>
            <w:r>
              <w:rPr>
                <w:rFonts w:hint="eastAsia" w:cs="宋体"/>
                <w:kern w:val="0"/>
                <w:sz w:val="18"/>
                <w:szCs w:val="18"/>
              </w:rPr>
              <w:t xml:space="preserve">210 </w:t>
            </w:r>
          </w:p>
        </w:tc>
        <w:tc>
          <w:tcPr>
            <w:tcW w:w="804" w:type="dxa"/>
            <w:tcBorders>
              <w:top w:val="nil"/>
              <w:left w:val="nil"/>
              <w:bottom w:val="single" w:color="auto" w:sz="4" w:space="0"/>
              <w:right w:val="single" w:color="auto" w:sz="4" w:space="0"/>
            </w:tcBorders>
            <w:shd w:val="clear" w:color="auto" w:fill="auto"/>
            <w:noWrap/>
            <w:vAlign w:val="center"/>
          </w:tcPr>
          <w:p>
            <w:pPr>
              <w:widowControl/>
              <w:jc w:val="right"/>
              <w:rPr>
                <w:rFonts w:cs="宋体"/>
                <w:kern w:val="0"/>
                <w:sz w:val="18"/>
                <w:szCs w:val="18"/>
              </w:rPr>
            </w:pPr>
            <w:r>
              <w:rPr>
                <w:rFonts w:hint="eastAsia" w:cs="宋体"/>
                <w:kern w:val="0"/>
                <w:sz w:val="18"/>
                <w:szCs w:val="18"/>
              </w:rPr>
              <w:t xml:space="preserve">1139 </w:t>
            </w:r>
          </w:p>
        </w:tc>
      </w:tr>
      <w:tr>
        <w:tblPrEx>
          <w:tblCellMar>
            <w:top w:w="0" w:type="dxa"/>
            <w:left w:w="108" w:type="dxa"/>
            <w:bottom w:w="0" w:type="dxa"/>
            <w:right w:w="108" w:type="dxa"/>
          </w:tblCellMar>
        </w:tblPrEx>
        <w:trPr>
          <w:trHeight w:val="240" w:hRule="atLeast"/>
        </w:trPr>
        <w:tc>
          <w:tcPr>
            <w:tcW w:w="1706" w:type="dxa"/>
            <w:tcBorders>
              <w:top w:val="nil"/>
              <w:left w:val="single" w:color="auto" w:sz="4" w:space="0"/>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总用水量</w:t>
            </w:r>
          </w:p>
        </w:tc>
        <w:tc>
          <w:tcPr>
            <w:tcW w:w="803" w:type="dxa"/>
            <w:tcBorders>
              <w:top w:val="nil"/>
              <w:left w:val="nil"/>
              <w:bottom w:val="single" w:color="auto" w:sz="4" w:space="0"/>
              <w:right w:val="single" w:color="auto" w:sz="4" w:space="0"/>
            </w:tcBorders>
            <w:shd w:val="clear" w:color="auto" w:fill="auto"/>
            <w:noWrap/>
            <w:vAlign w:val="center"/>
          </w:tcPr>
          <w:p>
            <w:pPr>
              <w:widowControl/>
              <w:jc w:val="right"/>
              <w:rPr>
                <w:rFonts w:cs="宋体"/>
                <w:kern w:val="0"/>
                <w:sz w:val="18"/>
                <w:szCs w:val="18"/>
              </w:rPr>
            </w:pPr>
            <w:r>
              <w:rPr>
                <w:rFonts w:hint="eastAsia" w:cs="宋体"/>
                <w:kern w:val="0"/>
                <w:sz w:val="18"/>
                <w:szCs w:val="18"/>
              </w:rPr>
              <w:t xml:space="preserve">9971 </w:t>
            </w:r>
          </w:p>
        </w:tc>
        <w:tc>
          <w:tcPr>
            <w:tcW w:w="803" w:type="dxa"/>
            <w:tcBorders>
              <w:top w:val="nil"/>
              <w:left w:val="nil"/>
              <w:bottom w:val="single" w:color="auto" w:sz="4" w:space="0"/>
              <w:right w:val="single" w:color="auto" w:sz="4" w:space="0"/>
            </w:tcBorders>
            <w:shd w:val="clear" w:color="auto" w:fill="auto"/>
            <w:noWrap/>
            <w:vAlign w:val="center"/>
          </w:tcPr>
          <w:p>
            <w:pPr>
              <w:widowControl/>
              <w:jc w:val="right"/>
              <w:rPr>
                <w:rFonts w:cs="宋体"/>
                <w:kern w:val="0"/>
                <w:sz w:val="18"/>
                <w:szCs w:val="18"/>
              </w:rPr>
            </w:pPr>
            <w:r>
              <w:rPr>
                <w:rFonts w:hint="eastAsia" w:cs="宋体"/>
                <w:kern w:val="0"/>
                <w:sz w:val="18"/>
                <w:szCs w:val="18"/>
              </w:rPr>
              <w:t xml:space="preserve">9971 </w:t>
            </w:r>
          </w:p>
        </w:tc>
        <w:tc>
          <w:tcPr>
            <w:tcW w:w="804" w:type="dxa"/>
            <w:tcBorders>
              <w:top w:val="nil"/>
              <w:left w:val="nil"/>
              <w:bottom w:val="single" w:color="auto" w:sz="4" w:space="0"/>
              <w:right w:val="single" w:color="auto" w:sz="4" w:space="0"/>
            </w:tcBorders>
            <w:shd w:val="clear" w:color="auto" w:fill="auto"/>
            <w:noWrap/>
            <w:vAlign w:val="center"/>
          </w:tcPr>
          <w:p>
            <w:pPr>
              <w:widowControl/>
              <w:jc w:val="right"/>
              <w:rPr>
                <w:rFonts w:cs="宋体"/>
                <w:kern w:val="0"/>
                <w:sz w:val="18"/>
                <w:szCs w:val="18"/>
              </w:rPr>
            </w:pPr>
            <w:r>
              <w:rPr>
                <w:rFonts w:hint="eastAsia" w:cs="宋体"/>
                <w:kern w:val="0"/>
                <w:sz w:val="18"/>
                <w:szCs w:val="18"/>
              </w:rPr>
              <w:t xml:space="preserve">13191 </w:t>
            </w:r>
          </w:p>
        </w:tc>
        <w:tc>
          <w:tcPr>
            <w:tcW w:w="803" w:type="dxa"/>
            <w:tcBorders>
              <w:top w:val="nil"/>
              <w:left w:val="nil"/>
              <w:bottom w:val="single" w:color="auto" w:sz="4" w:space="0"/>
              <w:right w:val="single" w:color="auto" w:sz="4" w:space="0"/>
            </w:tcBorders>
            <w:shd w:val="clear" w:color="auto" w:fill="auto"/>
            <w:noWrap/>
            <w:vAlign w:val="center"/>
          </w:tcPr>
          <w:p>
            <w:pPr>
              <w:widowControl/>
              <w:jc w:val="right"/>
              <w:rPr>
                <w:rFonts w:cs="宋体"/>
                <w:kern w:val="0"/>
                <w:sz w:val="18"/>
                <w:szCs w:val="18"/>
              </w:rPr>
            </w:pPr>
            <w:r>
              <w:rPr>
                <w:rFonts w:hint="eastAsia" w:cs="宋体"/>
                <w:kern w:val="0"/>
                <w:sz w:val="18"/>
                <w:szCs w:val="18"/>
              </w:rPr>
              <w:t xml:space="preserve">10522 </w:t>
            </w:r>
          </w:p>
        </w:tc>
        <w:tc>
          <w:tcPr>
            <w:tcW w:w="803" w:type="dxa"/>
            <w:tcBorders>
              <w:top w:val="nil"/>
              <w:left w:val="nil"/>
              <w:bottom w:val="single" w:color="auto" w:sz="4" w:space="0"/>
              <w:right w:val="single" w:color="auto" w:sz="4" w:space="0"/>
            </w:tcBorders>
            <w:shd w:val="clear" w:color="auto" w:fill="auto"/>
            <w:noWrap/>
            <w:vAlign w:val="center"/>
          </w:tcPr>
          <w:p>
            <w:pPr>
              <w:widowControl/>
              <w:jc w:val="right"/>
              <w:rPr>
                <w:rFonts w:cs="宋体"/>
                <w:kern w:val="0"/>
                <w:sz w:val="18"/>
                <w:szCs w:val="18"/>
              </w:rPr>
            </w:pPr>
            <w:r>
              <w:rPr>
                <w:rFonts w:hint="eastAsia" w:cs="宋体"/>
                <w:kern w:val="0"/>
                <w:sz w:val="18"/>
                <w:szCs w:val="18"/>
              </w:rPr>
              <w:t xml:space="preserve">9607 </w:t>
            </w:r>
          </w:p>
        </w:tc>
        <w:tc>
          <w:tcPr>
            <w:tcW w:w="804" w:type="dxa"/>
            <w:tcBorders>
              <w:top w:val="nil"/>
              <w:left w:val="nil"/>
              <w:bottom w:val="single" w:color="auto" w:sz="4" w:space="0"/>
              <w:right w:val="single" w:color="auto" w:sz="4" w:space="0"/>
            </w:tcBorders>
            <w:shd w:val="clear" w:color="auto" w:fill="auto"/>
            <w:noWrap/>
            <w:vAlign w:val="center"/>
          </w:tcPr>
          <w:p>
            <w:pPr>
              <w:widowControl/>
              <w:jc w:val="right"/>
              <w:rPr>
                <w:rFonts w:cs="宋体"/>
                <w:kern w:val="0"/>
                <w:sz w:val="18"/>
                <w:szCs w:val="18"/>
              </w:rPr>
            </w:pPr>
            <w:r>
              <w:rPr>
                <w:rFonts w:hint="eastAsia" w:cs="宋体"/>
                <w:kern w:val="0"/>
                <w:sz w:val="18"/>
                <w:szCs w:val="18"/>
              </w:rPr>
              <w:t xml:space="preserve">4558 </w:t>
            </w:r>
          </w:p>
        </w:tc>
        <w:tc>
          <w:tcPr>
            <w:tcW w:w="803" w:type="dxa"/>
            <w:tcBorders>
              <w:top w:val="nil"/>
              <w:left w:val="nil"/>
              <w:bottom w:val="single" w:color="auto" w:sz="4" w:space="0"/>
              <w:right w:val="single" w:color="auto" w:sz="4" w:space="0"/>
            </w:tcBorders>
            <w:shd w:val="clear" w:color="auto" w:fill="auto"/>
            <w:noWrap/>
            <w:vAlign w:val="center"/>
          </w:tcPr>
          <w:p>
            <w:pPr>
              <w:widowControl/>
              <w:jc w:val="right"/>
              <w:rPr>
                <w:rFonts w:cs="宋体"/>
                <w:color w:val="000000" w:themeColor="text1"/>
                <w:kern w:val="0"/>
                <w:sz w:val="18"/>
                <w:szCs w:val="18"/>
              </w:rPr>
            </w:pPr>
            <w:r>
              <w:rPr>
                <w:rFonts w:hint="eastAsia" w:cs="宋体"/>
                <w:color w:val="000000" w:themeColor="text1"/>
                <w:kern w:val="0"/>
                <w:sz w:val="18"/>
                <w:szCs w:val="18"/>
              </w:rPr>
              <w:t xml:space="preserve">16900 </w:t>
            </w:r>
          </w:p>
        </w:tc>
        <w:tc>
          <w:tcPr>
            <w:tcW w:w="803" w:type="dxa"/>
            <w:tcBorders>
              <w:top w:val="nil"/>
              <w:left w:val="nil"/>
              <w:bottom w:val="single" w:color="auto" w:sz="4" w:space="0"/>
              <w:right w:val="single" w:color="auto" w:sz="4" w:space="0"/>
            </w:tcBorders>
            <w:shd w:val="clear" w:color="auto" w:fill="auto"/>
            <w:noWrap/>
            <w:vAlign w:val="center"/>
          </w:tcPr>
          <w:p>
            <w:pPr>
              <w:widowControl/>
              <w:jc w:val="right"/>
              <w:rPr>
                <w:rFonts w:cs="宋体"/>
                <w:color w:val="000000" w:themeColor="text1"/>
                <w:kern w:val="0"/>
                <w:sz w:val="18"/>
                <w:szCs w:val="18"/>
              </w:rPr>
            </w:pPr>
            <w:r>
              <w:rPr>
                <w:rFonts w:hint="eastAsia" w:cs="宋体"/>
                <w:color w:val="000000" w:themeColor="text1"/>
                <w:kern w:val="0"/>
                <w:sz w:val="18"/>
                <w:szCs w:val="18"/>
              </w:rPr>
              <w:t xml:space="preserve">11702 </w:t>
            </w:r>
          </w:p>
        </w:tc>
        <w:tc>
          <w:tcPr>
            <w:tcW w:w="804" w:type="dxa"/>
            <w:tcBorders>
              <w:top w:val="nil"/>
              <w:left w:val="nil"/>
              <w:bottom w:val="single" w:color="auto" w:sz="4" w:space="0"/>
              <w:right w:val="single" w:color="auto" w:sz="4" w:space="0"/>
            </w:tcBorders>
            <w:shd w:val="clear" w:color="auto" w:fill="auto"/>
            <w:noWrap/>
            <w:vAlign w:val="center"/>
          </w:tcPr>
          <w:p>
            <w:pPr>
              <w:widowControl/>
              <w:jc w:val="right"/>
              <w:rPr>
                <w:rFonts w:cs="宋体"/>
                <w:kern w:val="0"/>
                <w:sz w:val="18"/>
                <w:szCs w:val="18"/>
              </w:rPr>
            </w:pPr>
            <w:r>
              <w:rPr>
                <w:rFonts w:hint="eastAsia" w:cs="宋体"/>
                <w:kern w:val="0"/>
                <w:sz w:val="18"/>
                <w:szCs w:val="18"/>
              </w:rPr>
              <w:t xml:space="preserve">86422 </w:t>
            </w:r>
          </w:p>
        </w:tc>
      </w:tr>
    </w:tbl>
    <w:p>
      <w:pPr>
        <w:ind w:hanging="142"/>
        <w:jc w:val="center"/>
        <w:rPr>
          <w:b/>
          <w:color w:val="000000" w:themeColor="text1"/>
          <w:sz w:val="28"/>
          <w:szCs w:val="28"/>
        </w:rPr>
      </w:pPr>
      <w:r>
        <w:rPr>
          <w:rFonts w:hint="eastAsia"/>
          <w:b/>
          <w:color w:val="000000" w:themeColor="text1"/>
          <w:sz w:val="28"/>
          <w:szCs w:val="28"/>
        </w:rPr>
        <w:t xml:space="preserve">△表9  </w:t>
      </w:r>
      <w:r>
        <w:rPr>
          <w:b/>
          <w:color w:val="000000" w:themeColor="text1"/>
          <w:sz w:val="28"/>
          <w:szCs w:val="28"/>
        </w:rPr>
        <w:t>2020年各行政分区用水量表</w:t>
      </w:r>
      <w:r>
        <w:rPr>
          <w:rFonts w:hint="eastAsia"/>
          <w:b/>
          <w:color w:val="000000" w:themeColor="text1"/>
          <w:sz w:val="28"/>
          <w:szCs w:val="28"/>
        </w:rPr>
        <w:t xml:space="preserve">   </w:t>
      </w:r>
      <w:r>
        <w:rPr>
          <w:rFonts w:hint="eastAsia"/>
          <w:color w:val="000000" w:themeColor="text1"/>
          <w:sz w:val="28"/>
          <w:szCs w:val="28"/>
        </w:rPr>
        <w:t>单位：万m</w:t>
      </w:r>
      <w:r>
        <w:rPr>
          <w:rFonts w:hint="eastAsia"/>
          <w:color w:val="000000" w:themeColor="text1"/>
          <w:sz w:val="28"/>
          <w:szCs w:val="28"/>
          <w:vertAlign w:val="superscript"/>
        </w:rPr>
        <w:t>3</w:t>
      </w:r>
    </w:p>
    <w:p>
      <w:pPr>
        <w:ind w:hanging="142"/>
        <w:jc w:val="center"/>
        <w:rPr>
          <w:color w:val="000000" w:themeColor="text1"/>
          <w:sz w:val="28"/>
          <w:szCs w:val="28"/>
        </w:rPr>
      </w:pPr>
      <w:r>
        <w:rPr>
          <w:color w:val="000000" w:themeColor="text1"/>
          <w:sz w:val="28"/>
          <w:szCs w:val="28"/>
        </w:rPr>
        <w:drawing>
          <wp:inline distT="0" distB="0" distL="0" distR="0">
            <wp:extent cx="5274310" cy="3139440"/>
            <wp:effectExtent l="19050" t="0" r="21590" b="3693"/>
            <wp:docPr id="19" name="图表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pPr>
        <w:ind w:hanging="142"/>
        <w:jc w:val="center"/>
        <w:rPr>
          <w:b/>
          <w:color w:val="000000" w:themeColor="text1"/>
          <w:sz w:val="28"/>
          <w:szCs w:val="28"/>
        </w:rPr>
      </w:pPr>
      <w:r>
        <w:rPr>
          <w:rFonts w:hint="eastAsia"/>
          <w:b/>
          <w:color w:val="000000" w:themeColor="text1"/>
          <w:sz w:val="28"/>
          <w:szCs w:val="28"/>
        </w:rPr>
        <w:t>△图10  2020年各行政分区用水量图</w:t>
      </w:r>
    </w:p>
    <w:p>
      <w:pPr>
        <w:ind w:hanging="142"/>
        <w:jc w:val="center"/>
        <w:rPr>
          <w:color w:val="000000" w:themeColor="text1"/>
          <w:sz w:val="13"/>
          <w:szCs w:val="13"/>
        </w:rPr>
      </w:pPr>
    </w:p>
    <w:tbl>
      <w:tblPr>
        <w:tblStyle w:val="11"/>
        <w:tblW w:w="8936" w:type="dxa"/>
        <w:tblInd w:w="103" w:type="dxa"/>
        <w:tblLayout w:type="fixed"/>
        <w:tblCellMar>
          <w:top w:w="0" w:type="dxa"/>
          <w:left w:w="108" w:type="dxa"/>
          <w:bottom w:w="0" w:type="dxa"/>
          <w:right w:w="108" w:type="dxa"/>
        </w:tblCellMar>
      </w:tblPr>
      <w:tblGrid>
        <w:gridCol w:w="856"/>
        <w:gridCol w:w="850"/>
        <w:gridCol w:w="851"/>
        <w:gridCol w:w="709"/>
        <w:gridCol w:w="992"/>
        <w:gridCol w:w="708"/>
        <w:gridCol w:w="709"/>
        <w:gridCol w:w="709"/>
        <w:gridCol w:w="709"/>
        <w:gridCol w:w="709"/>
        <w:gridCol w:w="1134"/>
      </w:tblGrid>
      <w:tr>
        <w:tblPrEx>
          <w:tblCellMar>
            <w:top w:w="0" w:type="dxa"/>
            <w:left w:w="108" w:type="dxa"/>
            <w:bottom w:w="0" w:type="dxa"/>
            <w:right w:w="108" w:type="dxa"/>
          </w:tblCellMar>
        </w:tblPrEx>
        <w:trPr>
          <w:trHeight w:val="270" w:hRule="atLeast"/>
        </w:trPr>
        <w:tc>
          <w:tcPr>
            <w:tcW w:w="856" w:type="dxa"/>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行政  分区</w:t>
            </w:r>
          </w:p>
        </w:tc>
        <w:tc>
          <w:tcPr>
            <w:tcW w:w="3402" w:type="dxa"/>
            <w:gridSpan w:val="4"/>
            <w:tcBorders>
              <w:top w:val="single" w:color="auto" w:sz="4" w:space="0"/>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供水</w:t>
            </w:r>
          </w:p>
        </w:tc>
        <w:tc>
          <w:tcPr>
            <w:tcW w:w="4678" w:type="dxa"/>
            <w:gridSpan w:val="6"/>
            <w:tcBorders>
              <w:top w:val="single" w:color="auto" w:sz="4" w:space="0"/>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用水量</w:t>
            </w:r>
          </w:p>
        </w:tc>
      </w:tr>
      <w:tr>
        <w:tblPrEx>
          <w:tblCellMar>
            <w:top w:w="0" w:type="dxa"/>
            <w:left w:w="108" w:type="dxa"/>
            <w:bottom w:w="0" w:type="dxa"/>
            <w:right w:w="108" w:type="dxa"/>
          </w:tblCellMar>
        </w:tblPrEx>
        <w:trPr>
          <w:trHeight w:val="240" w:hRule="atLeast"/>
        </w:trPr>
        <w:tc>
          <w:tcPr>
            <w:tcW w:w="856"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cs="宋体"/>
                <w:kern w:val="0"/>
                <w:sz w:val="18"/>
                <w:szCs w:val="18"/>
              </w:rPr>
            </w:pPr>
          </w:p>
        </w:tc>
        <w:tc>
          <w:tcPr>
            <w:tcW w:w="850"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地表水</w:t>
            </w:r>
          </w:p>
        </w:tc>
        <w:tc>
          <w:tcPr>
            <w:tcW w:w="851"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地下水</w:t>
            </w:r>
          </w:p>
        </w:tc>
        <w:tc>
          <w:tcPr>
            <w:tcW w:w="70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其他</w:t>
            </w:r>
          </w:p>
        </w:tc>
        <w:tc>
          <w:tcPr>
            <w:tcW w:w="992"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供水总量</w:t>
            </w:r>
          </w:p>
        </w:tc>
        <w:tc>
          <w:tcPr>
            <w:tcW w:w="708"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农业</w:t>
            </w:r>
          </w:p>
        </w:tc>
        <w:tc>
          <w:tcPr>
            <w:tcW w:w="70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工业</w:t>
            </w:r>
          </w:p>
        </w:tc>
        <w:tc>
          <w:tcPr>
            <w:tcW w:w="70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居民生活</w:t>
            </w:r>
          </w:p>
        </w:tc>
        <w:tc>
          <w:tcPr>
            <w:tcW w:w="70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城镇公共</w:t>
            </w:r>
          </w:p>
        </w:tc>
        <w:tc>
          <w:tcPr>
            <w:tcW w:w="70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生态环境</w:t>
            </w:r>
          </w:p>
        </w:tc>
        <w:tc>
          <w:tcPr>
            <w:tcW w:w="1134"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用水总量</w:t>
            </w:r>
          </w:p>
        </w:tc>
      </w:tr>
      <w:tr>
        <w:tblPrEx>
          <w:tblCellMar>
            <w:top w:w="0" w:type="dxa"/>
            <w:left w:w="108" w:type="dxa"/>
            <w:bottom w:w="0" w:type="dxa"/>
            <w:right w:w="108" w:type="dxa"/>
          </w:tblCellMar>
        </w:tblPrEx>
        <w:trPr>
          <w:trHeight w:val="240" w:hRule="atLeast"/>
        </w:trPr>
        <w:tc>
          <w:tcPr>
            <w:tcW w:w="856" w:type="dxa"/>
            <w:tcBorders>
              <w:top w:val="nil"/>
              <w:left w:val="single" w:color="auto" w:sz="4" w:space="0"/>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吉首市</w:t>
            </w:r>
          </w:p>
        </w:tc>
        <w:tc>
          <w:tcPr>
            <w:tcW w:w="850"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9926</w:t>
            </w:r>
          </w:p>
        </w:tc>
        <w:tc>
          <w:tcPr>
            <w:tcW w:w="851"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45</w:t>
            </w:r>
          </w:p>
        </w:tc>
        <w:tc>
          <w:tcPr>
            <w:tcW w:w="70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0</w:t>
            </w:r>
          </w:p>
        </w:tc>
        <w:tc>
          <w:tcPr>
            <w:tcW w:w="992"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9971</w:t>
            </w:r>
          </w:p>
        </w:tc>
        <w:tc>
          <w:tcPr>
            <w:tcW w:w="708"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 xml:space="preserve">5560 </w:t>
            </w:r>
          </w:p>
        </w:tc>
        <w:tc>
          <w:tcPr>
            <w:tcW w:w="70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 xml:space="preserve">1670 </w:t>
            </w:r>
          </w:p>
        </w:tc>
        <w:tc>
          <w:tcPr>
            <w:tcW w:w="70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 xml:space="preserve">1746 </w:t>
            </w:r>
          </w:p>
        </w:tc>
        <w:tc>
          <w:tcPr>
            <w:tcW w:w="70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 xml:space="preserve">656 </w:t>
            </w:r>
          </w:p>
        </w:tc>
        <w:tc>
          <w:tcPr>
            <w:tcW w:w="70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 xml:space="preserve">340 </w:t>
            </w:r>
          </w:p>
        </w:tc>
        <w:tc>
          <w:tcPr>
            <w:tcW w:w="1134"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 xml:space="preserve">9971 </w:t>
            </w:r>
          </w:p>
        </w:tc>
      </w:tr>
      <w:tr>
        <w:tblPrEx>
          <w:tblCellMar>
            <w:top w:w="0" w:type="dxa"/>
            <w:left w:w="108" w:type="dxa"/>
            <w:bottom w:w="0" w:type="dxa"/>
            <w:right w:w="108" w:type="dxa"/>
          </w:tblCellMar>
        </w:tblPrEx>
        <w:trPr>
          <w:trHeight w:val="240" w:hRule="atLeast"/>
        </w:trPr>
        <w:tc>
          <w:tcPr>
            <w:tcW w:w="856" w:type="dxa"/>
            <w:tcBorders>
              <w:top w:val="nil"/>
              <w:left w:val="single" w:color="auto" w:sz="4" w:space="0"/>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泸溪县</w:t>
            </w:r>
          </w:p>
        </w:tc>
        <w:tc>
          <w:tcPr>
            <w:tcW w:w="850"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9971</w:t>
            </w:r>
          </w:p>
        </w:tc>
        <w:tc>
          <w:tcPr>
            <w:tcW w:w="851"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0</w:t>
            </w:r>
          </w:p>
        </w:tc>
        <w:tc>
          <w:tcPr>
            <w:tcW w:w="70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0</w:t>
            </w:r>
          </w:p>
        </w:tc>
        <w:tc>
          <w:tcPr>
            <w:tcW w:w="992"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9971</w:t>
            </w:r>
          </w:p>
        </w:tc>
        <w:tc>
          <w:tcPr>
            <w:tcW w:w="708"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 xml:space="preserve">7744 </w:t>
            </w:r>
          </w:p>
        </w:tc>
        <w:tc>
          <w:tcPr>
            <w:tcW w:w="70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 xml:space="preserve">579 </w:t>
            </w:r>
          </w:p>
        </w:tc>
        <w:tc>
          <w:tcPr>
            <w:tcW w:w="70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 xml:space="preserve">1318 </w:t>
            </w:r>
          </w:p>
        </w:tc>
        <w:tc>
          <w:tcPr>
            <w:tcW w:w="70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 xml:space="preserve">223 </w:t>
            </w:r>
          </w:p>
        </w:tc>
        <w:tc>
          <w:tcPr>
            <w:tcW w:w="70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 xml:space="preserve">106 </w:t>
            </w:r>
          </w:p>
        </w:tc>
        <w:tc>
          <w:tcPr>
            <w:tcW w:w="1134"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 xml:space="preserve">9971 </w:t>
            </w:r>
          </w:p>
        </w:tc>
      </w:tr>
      <w:tr>
        <w:tblPrEx>
          <w:tblCellMar>
            <w:top w:w="0" w:type="dxa"/>
            <w:left w:w="108" w:type="dxa"/>
            <w:bottom w:w="0" w:type="dxa"/>
            <w:right w:w="108" w:type="dxa"/>
          </w:tblCellMar>
        </w:tblPrEx>
        <w:trPr>
          <w:trHeight w:val="240" w:hRule="atLeast"/>
        </w:trPr>
        <w:tc>
          <w:tcPr>
            <w:tcW w:w="856" w:type="dxa"/>
            <w:tcBorders>
              <w:top w:val="nil"/>
              <w:left w:val="single" w:color="auto" w:sz="4" w:space="0"/>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凤凰县</w:t>
            </w:r>
          </w:p>
        </w:tc>
        <w:tc>
          <w:tcPr>
            <w:tcW w:w="850"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13191</w:t>
            </w:r>
          </w:p>
        </w:tc>
        <w:tc>
          <w:tcPr>
            <w:tcW w:w="851"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0</w:t>
            </w:r>
          </w:p>
        </w:tc>
        <w:tc>
          <w:tcPr>
            <w:tcW w:w="70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0</w:t>
            </w:r>
          </w:p>
        </w:tc>
        <w:tc>
          <w:tcPr>
            <w:tcW w:w="992"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13191</w:t>
            </w:r>
          </w:p>
        </w:tc>
        <w:tc>
          <w:tcPr>
            <w:tcW w:w="708"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 xml:space="preserve">10828 </w:t>
            </w:r>
          </w:p>
        </w:tc>
        <w:tc>
          <w:tcPr>
            <w:tcW w:w="70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 xml:space="preserve">322 </w:t>
            </w:r>
          </w:p>
        </w:tc>
        <w:tc>
          <w:tcPr>
            <w:tcW w:w="70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 xml:space="preserve">1574 </w:t>
            </w:r>
          </w:p>
        </w:tc>
        <w:tc>
          <w:tcPr>
            <w:tcW w:w="70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 xml:space="preserve">364 </w:t>
            </w:r>
          </w:p>
        </w:tc>
        <w:tc>
          <w:tcPr>
            <w:tcW w:w="70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 xml:space="preserve">104 </w:t>
            </w:r>
          </w:p>
        </w:tc>
        <w:tc>
          <w:tcPr>
            <w:tcW w:w="1134"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 xml:space="preserve">13191 </w:t>
            </w:r>
          </w:p>
        </w:tc>
      </w:tr>
      <w:tr>
        <w:tblPrEx>
          <w:tblCellMar>
            <w:top w:w="0" w:type="dxa"/>
            <w:left w:w="108" w:type="dxa"/>
            <w:bottom w:w="0" w:type="dxa"/>
            <w:right w:w="108" w:type="dxa"/>
          </w:tblCellMar>
        </w:tblPrEx>
        <w:trPr>
          <w:trHeight w:val="240" w:hRule="atLeast"/>
        </w:trPr>
        <w:tc>
          <w:tcPr>
            <w:tcW w:w="856" w:type="dxa"/>
            <w:tcBorders>
              <w:top w:val="nil"/>
              <w:left w:val="single" w:color="auto" w:sz="4" w:space="0"/>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花垣县</w:t>
            </w:r>
          </w:p>
        </w:tc>
        <w:tc>
          <w:tcPr>
            <w:tcW w:w="850"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10522</w:t>
            </w:r>
          </w:p>
        </w:tc>
        <w:tc>
          <w:tcPr>
            <w:tcW w:w="851"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0</w:t>
            </w:r>
          </w:p>
        </w:tc>
        <w:tc>
          <w:tcPr>
            <w:tcW w:w="70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0</w:t>
            </w:r>
          </w:p>
        </w:tc>
        <w:tc>
          <w:tcPr>
            <w:tcW w:w="992"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10522</w:t>
            </w:r>
          </w:p>
        </w:tc>
        <w:tc>
          <w:tcPr>
            <w:tcW w:w="708"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 xml:space="preserve">8219 </w:t>
            </w:r>
          </w:p>
        </w:tc>
        <w:tc>
          <w:tcPr>
            <w:tcW w:w="70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 xml:space="preserve">611 </w:t>
            </w:r>
          </w:p>
        </w:tc>
        <w:tc>
          <w:tcPr>
            <w:tcW w:w="70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 xml:space="preserve">1271 </w:t>
            </w:r>
          </w:p>
        </w:tc>
        <w:tc>
          <w:tcPr>
            <w:tcW w:w="70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 xml:space="preserve">226 </w:t>
            </w:r>
          </w:p>
        </w:tc>
        <w:tc>
          <w:tcPr>
            <w:tcW w:w="70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 xml:space="preserve">195 </w:t>
            </w:r>
          </w:p>
        </w:tc>
        <w:tc>
          <w:tcPr>
            <w:tcW w:w="1134"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 xml:space="preserve">10522 </w:t>
            </w:r>
          </w:p>
        </w:tc>
      </w:tr>
      <w:tr>
        <w:tblPrEx>
          <w:tblCellMar>
            <w:top w:w="0" w:type="dxa"/>
            <w:left w:w="108" w:type="dxa"/>
            <w:bottom w:w="0" w:type="dxa"/>
            <w:right w:w="108" w:type="dxa"/>
          </w:tblCellMar>
        </w:tblPrEx>
        <w:trPr>
          <w:trHeight w:val="240" w:hRule="atLeast"/>
        </w:trPr>
        <w:tc>
          <w:tcPr>
            <w:tcW w:w="856" w:type="dxa"/>
            <w:tcBorders>
              <w:top w:val="nil"/>
              <w:left w:val="single" w:color="auto" w:sz="4" w:space="0"/>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保靖县</w:t>
            </w:r>
          </w:p>
        </w:tc>
        <w:tc>
          <w:tcPr>
            <w:tcW w:w="850"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9036</w:t>
            </w:r>
          </w:p>
        </w:tc>
        <w:tc>
          <w:tcPr>
            <w:tcW w:w="851"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570</w:t>
            </w:r>
          </w:p>
        </w:tc>
        <w:tc>
          <w:tcPr>
            <w:tcW w:w="70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0</w:t>
            </w:r>
          </w:p>
        </w:tc>
        <w:tc>
          <w:tcPr>
            <w:tcW w:w="992"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9606</w:t>
            </w:r>
          </w:p>
        </w:tc>
        <w:tc>
          <w:tcPr>
            <w:tcW w:w="708"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 xml:space="preserve">7457 </w:t>
            </w:r>
          </w:p>
        </w:tc>
        <w:tc>
          <w:tcPr>
            <w:tcW w:w="70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 xml:space="preserve">582 </w:t>
            </w:r>
          </w:p>
        </w:tc>
        <w:tc>
          <w:tcPr>
            <w:tcW w:w="70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 xml:space="preserve">1289 </w:t>
            </w:r>
          </w:p>
        </w:tc>
        <w:tc>
          <w:tcPr>
            <w:tcW w:w="70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 xml:space="preserve">225 </w:t>
            </w:r>
          </w:p>
        </w:tc>
        <w:tc>
          <w:tcPr>
            <w:tcW w:w="70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 xml:space="preserve">54 </w:t>
            </w:r>
          </w:p>
        </w:tc>
        <w:tc>
          <w:tcPr>
            <w:tcW w:w="1134"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 xml:space="preserve">9606 </w:t>
            </w:r>
          </w:p>
        </w:tc>
      </w:tr>
      <w:tr>
        <w:tblPrEx>
          <w:tblCellMar>
            <w:top w:w="0" w:type="dxa"/>
            <w:left w:w="108" w:type="dxa"/>
            <w:bottom w:w="0" w:type="dxa"/>
            <w:right w:w="108" w:type="dxa"/>
          </w:tblCellMar>
        </w:tblPrEx>
        <w:trPr>
          <w:trHeight w:val="240" w:hRule="atLeast"/>
        </w:trPr>
        <w:tc>
          <w:tcPr>
            <w:tcW w:w="856" w:type="dxa"/>
            <w:tcBorders>
              <w:top w:val="nil"/>
              <w:left w:val="single" w:color="auto" w:sz="4" w:space="0"/>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古丈县</w:t>
            </w:r>
          </w:p>
        </w:tc>
        <w:tc>
          <w:tcPr>
            <w:tcW w:w="850"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4558</w:t>
            </w:r>
          </w:p>
        </w:tc>
        <w:tc>
          <w:tcPr>
            <w:tcW w:w="851"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0</w:t>
            </w:r>
          </w:p>
        </w:tc>
        <w:tc>
          <w:tcPr>
            <w:tcW w:w="70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0</w:t>
            </w:r>
          </w:p>
        </w:tc>
        <w:tc>
          <w:tcPr>
            <w:tcW w:w="992"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4558</w:t>
            </w:r>
          </w:p>
        </w:tc>
        <w:tc>
          <w:tcPr>
            <w:tcW w:w="708"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 xml:space="preserve">3653 </w:t>
            </w:r>
          </w:p>
        </w:tc>
        <w:tc>
          <w:tcPr>
            <w:tcW w:w="70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 xml:space="preserve">196 </w:t>
            </w:r>
          </w:p>
        </w:tc>
        <w:tc>
          <w:tcPr>
            <w:tcW w:w="70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 xml:space="preserve">590 </w:t>
            </w:r>
          </w:p>
        </w:tc>
        <w:tc>
          <w:tcPr>
            <w:tcW w:w="70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 xml:space="preserve">90 </w:t>
            </w:r>
          </w:p>
        </w:tc>
        <w:tc>
          <w:tcPr>
            <w:tcW w:w="70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 xml:space="preserve">29 </w:t>
            </w:r>
          </w:p>
        </w:tc>
        <w:tc>
          <w:tcPr>
            <w:tcW w:w="1134"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 xml:space="preserve">4558 </w:t>
            </w:r>
          </w:p>
        </w:tc>
      </w:tr>
      <w:tr>
        <w:tblPrEx>
          <w:tblCellMar>
            <w:top w:w="0" w:type="dxa"/>
            <w:left w:w="108" w:type="dxa"/>
            <w:bottom w:w="0" w:type="dxa"/>
            <w:right w:w="108" w:type="dxa"/>
          </w:tblCellMar>
        </w:tblPrEx>
        <w:trPr>
          <w:trHeight w:val="240" w:hRule="atLeast"/>
        </w:trPr>
        <w:tc>
          <w:tcPr>
            <w:tcW w:w="856" w:type="dxa"/>
            <w:tcBorders>
              <w:top w:val="nil"/>
              <w:left w:val="single" w:color="auto" w:sz="4" w:space="0"/>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永顺县</w:t>
            </w:r>
          </w:p>
        </w:tc>
        <w:tc>
          <w:tcPr>
            <w:tcW w:w="850"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16900</w:t>
            </w:r>
          </w:p>
        </w:tc>
        <w:tc>
          <w:tcPr>
            <w:tcW w:w="851"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0</w:t>
            </w:r>
          </w:p>
        </w:tc>
        <w:tc>
          <w:tcPr>
            <w:tcW w:w="70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0</w:t>
            </w:r>
          </w:p>
        </w:tc>
        <w:tc>
          <w:tcPr>
            <w:tcW w:w="992"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16900</w:t>
            </w:r>
          </w:p>
        </w:tc>
        <w:tc>
          <w:tcPr>
            <w:tcW w:w="708"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 xml:space="preserve">14110 </w:t>
            </w:r>
          </w:p>
        </w:tc>
        <w:tc>
          <w:tcPr>
            <w:tcW w:w="70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 xml:space="preserve">370 </w:t>
            </w:r>
          </w:p>
        </w:tc>
        <w:tc>
          <w:tcPr>
            <w:tcW w:w="70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 xml:space="preserve">2015 </w:t>
            </w:r>
          </w:p>
        </w:tc>
        <w:tc>
          <w:tcPr>
            <w:tcW w:w="70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 xml:space="preserve">304 </w:t>
            </w:r>
          </w:p>
        </w:tc>
        <w:tc>
          <w:tcPr>
            <w:tcW w:w="70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 xml:space="preserve">101 </w:t>
            </w:r>
          </w:p>
        </w:tc>
        <w:tc>
          <w:tcPr>
            <w:tcW w:w="1134" w:type="dxa"/>
            <w:tcBorders>
              <w:top w:val="nil"/>
              <w:left w:val="nil"/>
              <w:bottom w:val="single" w:color="auto" w:sz="4" w:space="0"/>
              <w:right w:val="single" w:color="auto" w:sz="4" w:space="0"/>
            </w:tcBorders>
            <w:shd w:val="clear" w:color="auto" w:fill="auto"/>
            <w:noWrap/>
            <w:vAlign w:val="center"/>
          </w:tcPr>
          <w:p>
            <w:pPr>
              <w:widowControl/>
              <w:jc w:val="center"/>
              <w:rPr>
                <w:rFonts w:cs="宋体"/>
                <w:color w:val="000000" w:themeColor="text1"/>
                <w:kern w:val="0"/>
                <w:sz w:val="18"/>
                <w:szCs w:val="18"/>
              </w:rPr>
            </w:pPr>
            <w:r>
              <w:rPr>
                <w:rFonts w:hint="eastAsia" w:cs="宋体"/>
                <w:color w:val="000000" w:themeColor="text1"/>
                <w:kern w:val="0"/>
                <w:sz w:val="18"/>
                <w:szCs w:val="18"/>
              </w:rPr>
              <w:t xml:space="preserve">16900 </w:t>
            </w:r>
          </w:p>
        </w:tc>
      </w:tr>
      <w:tr>
        <w:tblPrEx>
          <w:tblCellMar>
            <w:top w:w="0" w:type="dxa"/>
            <w:left w:w="108" w:type="dxa"/>
            <w:bottom w:w="0" w:type="dxa"/>
            <w:right w:w="108" w:type="dxa"/>
          </w:tblCellMar>
        </w:tblPrEx>
        <w:trPr>
          <w:trHeight w:val="240" w:hRule="atLeast"/>
        </w:trPr>
        <w:tc>
          <w:tcPr>
            <w:tcW w:w="856" w:type="dxa"/>
            <w:tcBorders>
              <w:top w:val="nil"/>
              <w:left w:val="single" w:color="auto" w:sz="4" w:space="0"/>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龙山县</w:t>
            </w:r>
          </w:p>
        </w:tc>
        <w:tc>
          <w:tcPr>
            <w:tcW w:w="850"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11702</w:t>
            </w:r>
          </w:p>
        </w:tc>
        <w:tc>
          <w:tcPr>
            <w:tcW w:w="851"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0</w:t>
            </w:r>
          </w:p>
        </w:tc>
        <w:tc>
          <w:tcPr>
            <w:tcW w:w="70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0</w:t>
            </w:r>
          </w:p>
        </w:tc>
        <w:tc>
          <w:tcPr>
            <w:tcW w:w="992"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11702</w:t>
            </w:r>
          </w:p>
        </w:tc>
        <w:tc>
          <w:tcPr>
            <w:tcW w:w="708"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 xml:space="preserve">8259 </w:t>
            </w:r>
          </w:p>
        </w:tc>
        <w:tc>
          <w:tcPr>
            <w:tcW w:w="70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 xml:space="preserve">390 </w:t>
            </w:r>
          </w:p>
        </w:tc>
        <w:tc>
          <w:tcPr>
            <w:tcW w:w="70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 xml:space="preserve">2525 </w:t>
            </w:r>
          </w:p>
        </w:tc>
        <w:tc>
          <w:tcPr>
            <w:tcW w:w="70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 xml:space="preserve">319 </w:t>
            </w:r>
          </w:p>
        </w:tc>
        <w:tc>
          <w:tcPr>
            <w:tcW w:w="70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 xml:space="preserve">210 </w:t>
            </w:r>
          </w:p>
        </w:tc>
        <w:tc>
          <w:tcPr>
            <w:tcW w:w="1134" w:type="dxa"/>
            <w:tcBorders>
              <w:top w:val="nil"/>
              <w:left w:val="nil"/>
              <w:bottom w:val="single" w:color="auto" w:sz="4" w:space="0"/>
              <w:right w:val="single" w:color="auto" w:sz="4" w:space="0"/>
            </w:tcBorders>
            <w:shd w:val="clear" w:color="auto" w:fill="auto"/>
            <w:noWrap/>
            <w:vAlign w:val="center"/>
          </w:tcPr>
          <w:p>
            <w:pPr>
              <w:widowControl/>
              <w:jc w:val="center"/>
              <w:rPr>
                <w:rFonts w:cs="宋体"/>
                <w:color w:val="000000" w:themeColor="text1"/>
                <w:kern w:val="0"/>
                <w:sz w:val="18"/>
                <w:szCs w:val="18"/>
              </w:rPr>
            </w:pPr>
            <w:r>
              <w:rPr>
                <w:rFonts w:hint="eastAsia" w:cs="宋体"/>
                <w:color w:val="000000" w:themeColor="text1"/>
                <w:kern w:val="0"/>
                <w:sz w:val="18"/>
                <w:szCs w:val="18"/>
              </w:rPr>
              <w:t xml:space="preserve">11702 </w:t>
            </w:r>
          </w:p>
        </w:tc>
      </w:tr>
      <w:tr>
        <w:tblPrEx>
          <w:tblCellMar>
            <w:top w:w="0" w:type="dxa"/>
            <w:left w:w="108" w:type="dxa"/>
            <w:bottom w:w="0" w:type="dxa"/>
            <w:right w:w="108" w:type="dxa"/>
          </w:tblCellMar>
        </w:tblPrEx>
        <w:trPr>
          <w:trHeight w:val="240" w:hRule="atLeast"/>
        </w:trPr>
        <w:tc>
          <w:tcPr>
            <w:tcW w:w="856" w:type="dxa"/>
            <w:tcBorders>
              <w:top w:val="nil"/>
              <w:left w:val="single" w:color="auto" w:sz="4" w:space="0"/>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全州</w:t>
            </w:r>
          </w:p>
        </w:tc>
        <w:tc>
          <w:tcPr>
            <w:tcW w:w="850"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85807</w:t>
            </w:r>
          </w:p>
        </w:tc>
        <w:tc>
          <w:tcPr>
            <w:tcW w:w="851"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615</w:t>
            </w:r>
          </w:p>
        </w:tc>
        <w:tc>
          <w:tcPr>
            <w:tcW w:w="70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0</w:t>
            </w:r>
          </w:p>
        </w:tc>
        <w:tc>
          <w:tcPr>
            <w:tcW w:w="992"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86422</w:t>
            </w:r>
          </w:p>
        </w:tc>
        <w:tc>
          <w:tcPr>
            <w:tcW w:w="708"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 xml:space="preserve">65830 </w:t>
            </w:r>
          </w:p>
        </w:tc>
        <w:tc>
          <w:tcPr>
            <w:tcW w:w="70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 xml:space="preserve">4719 </w:t>
            </w:r>
          </w:p>
        </w:tc>
        <w:tc>
          <w:tcPr>
            <w:tcW w:w="70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 xml:space="preserve">12327 </w:t>
            </w:r>
          </w:p>
        </w:tc>
        <w:tc>
          <w:tcPr>
            <w:tcW w:w="70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 xml:space="preserve">2407 </w:t>
            </w:r>
          </w:p>
        </w:tc>
        <w:tc>
          <w:tcPr>
            <w:tcW w:w="70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 xml:space="preserve">1139 </w:t>
            </w:r>
          </w:p>
        </w:tc>
        <w:tc>
          <w:tcPr>
            <w:tcW w:w="1134"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 xml:space="preserve">86422 </w:t>
            </w:r>
          </w:p>
        </w:tc>
      </w:tr>
    </w:tbl>
    <w:p>
      <w:pPr>
        <w:ind w:hanging="142"/>
        <w:jc w:val="center"/>
        <w:rPr>
          <w:b/>
          <w:color w:val="000000" w:themeColor="text1"/>
          <w:sz w:val="28"/>
          <w:szCs w:val="28"/>
        </w:rPr>
      </w:pPr>
      <w:r>
        <w:rPr>
          <w:rFonts w:hint="eastAsia"/>
          <w:b/>
          <w:color w:val="000000" w:themeColor="text1"/>
          <w:sz w:val="28"/>
          <w:szCs w:val="28"/>
        </w:rPr>
        <w:t xml:space="preserve">△表10  </w:t>
      </w:r>
      <w:r>
        <w:rPr>
          <w:b/>
          <w:color w:val="000000" w:themeColor="text1"/>
          <w:sz w:val="28"/>
          <w:szCs w:val="28"/>
        </w:rPr>
        <w:t>2020年各行政分区供水量和用水量表</w:t>
      </w:r>
      <w:r>
        <w:rPr>
          <w:rFonts w:hint="eastAsia"/>
          <w:b/>
          <w:color w:val="000000" w:themeColor="text1"/>
          <w:sz w:val="28"/>
          <w:szCs w:val="28"/>
        </w:rPr>
        <w:t xml:space="preserve">   </w:t>
      </w:r>
      <w:r>
        <w:rPr>
          <w:rFonts w:hint="eastAsia"/>
          <w:color w:val="000000" w:themeColor="text1"/>
          <w:sz w:val="28"/>
          <w:szCs w:val="28"/>
        </w:rPr>
        <w:t>单位：万m</w:t>
      </w:r>
      <w:r>
        <w:rPr>
          <w:rFonts w:hint="eastAsia"/>
          <w:color w:val="000000" w:themeColor="text1"/>
          <w:sz w:val="28"/>
          <w:szCs w:val="28"/>
          <w:vertAlign w:val="superscript"/>
        </w:rPr>
        <w:t>3</w:t>
      </w:r>
    </w:p>
    <w:p>
      <w:pPr>
        <w:rPr>
          <w:b/>
          <w:sz w:val="28"/>
          <w:szCs w:val="28"/>
        </w:rPr>
      </w:pPr>
      <w:r>
        <w:rPr>
          <w:rFonts w:hint="eastAsia"/>
          <w:b/>
          <w:sz w:val="28"/>
          <w:szCs w:val="28"/>
        </w:rPr>
        <w:t>（三）用水量变化趋势</w:t>
      </w:r>
    </w:p>
    <w:p>
      <w:pPr>
        <w:ind w:firstLine="560" w:firstLineChars="200"/>
        <w:jc w:val="left"/>
        <w:rPr>
          <w:color w:val="000000" w:themeColor="text1"/>
          <w:sz w:val="28"/>
          <w:szCs w:val="28"/>
        </w:rPr>
      </w:pPr>
      <w:r>
        <w:rPr>
          <w:rFonts w:hint="eastAsia"/>
          <w:color w:val="000000" w:themeColor="text1"/>
          <w:sz w:val="28"/>
          <w:szCs w:val="28"/>
        </w:rPr>
        <w:t>全州各部门用水量与上年比较：农业用水增加</w:t>
      </w:r>
      <w:r>
        <w:rPr>
          <w:color w:val="000000" w:themeColor="text1"/>
          <w:sz w:val="28"/>
          <w:szCs w:val="28"/>
        </w:rPr>
        <w:t>1.</w:t>
      </w:r>
      <w:r>
        <w:rPr>
          <w:rFonts w:hint="eastAsia"/>
          <w:color w:val="000000" w:themeColor="text1"/>
          <w:sz w:val="28"/>
          <w:szCs w:val="28"/>
        </w:rPr>
        <w:t>28</w:t>
      </w:r>
      <w:r>
        <w:rPr>
          <w:color w:val="000000" w:themeColor="text1"/>
          <w:sz w:val="28"/>
          <w:szCs w:val="28"/>
        </w:rPr>
        <w:t>%、工业用水量由于新冠疫情、用水统计调查制度调整等因素影响，</w:t>
      </w:r>
      <w:r>
        <w:rPr>
          <w:rFonts w:hint="eastAsia"/>
          <w:color w:val="000000" w:themeColor="text1"/>
          <w:sz w:val="28"/>
          <w:szCs w:val="28"/>
        </w:rPr>
        <w:t>2020年明显下降，减少55.5%</w:t>
      </w:r>
      <w:r>
        <w:rPr>
          <w:color w:val="000000" w:themeColor="text1"/>
          <w:sz w:val="28"/>
          <w:szCs w:val="28"/>
        </w:rPr>
        <w:t>、居民生活用水增加</w:t>
      </w:r>
      <w:r>
        <w:rPr>
          <w:rFonts w:hint="eastAsia"/>
          <w:color w:val="000000" w:themeColor="text1"/>
          <w:sz w:val="28"/>
          <w:szCs w:val="28"/>
        </w:rPr>
        <w:t>11.1</w:t>
      </w:r>
      <w:r>
        <w:rPr>
          <w:color w:val="000000" w:themeColor="text1"/>
          <w:sz w:val="28"/>
          <w:szCs w:val="28"/>
        </w:rPr>
        <w:t>%。</w:t>
      </w:r>
    </w:p>
    <w:p>
      <w:pPr>
        <w:rPr>
          <w:b/>
          <w:sz w:val="28"/>
          <w:szCs w:val="28"/>
        </w:rPr>
      </w:pPr>
      <w:r>
        <w:rPr>
          <w:rFonts w:hint="eastAsia"/>
          <w:b/>
          <w:sz w:val="28"/>
          <w:szCs w:val="28"/>
        </w:rPr>
        <w:t>（四）用水量消耗量</w:t>
      </w:r>
    </w:p>
    <w:p>
      <w:pPr>
        <w:ind w:firstLine="560" w:firstLineChars="200"/>
        <w:jc w:val="left"/>
        <w:rPr>
          <w:color w:val="000000" w:themeColor="text1"/>
          <w:sz w:val="28"/>
          <w:szCs w:val="28"/>
        </w:rPr>
      </w:pPr>
      <w:r>
        <w:rPr>
          <w:rFonts w:hint="eastAsia"/>
          <w:color w:val="000000" w:themeColor="text1"/>
          <w:sz w:val="28"/>
          <w:szCs w:val="28"/>
        </w:rPr>
        <w:t>用水消耗量指在输、用水过程中，通过蒸腾蒸发、土壤吸收、产品带走、居民和牲畜饮用等形式消耗，不能回归到地表水体的水量。</w:t>
      </w:r>
    </w:p>
    <w:p>
      <w:pPr>
        <w:ind w:firstLine="560" w:firstLineChars="200"/>
        <w:jc w:val="left"/>
        <w:rPr>
          <w:color w:val="000000" w:themeColor="text1"/>
          <w:sz w:val="28"/>
          <w:szCs w:val="28"/>
        </w:rPr>
      </w:pPr>
      <w:r>
        <w:rPr>
          <w:rFonts w:hint="eastAsia"/>
          <w:color w:val="000000" w:themeColor="text1"/>
          <w:sz w:val="28"/>
          <w:szCs w:val="28"/>
        </w:rPr>
        <w:t>2020年全州用水消耗量为4.29亿m</w:t>
      </w:r>
      <w:r>
        <w:rPr>
          <w:rFonts w:hint="eastAsia"/>
          <w:color w:val="000000" w:themeColor="text1"/>
          <w:sz w:val="28"/>
          <w:szCs w:val="28"/>
          <w:vertAlign w:val="superscript"/>
        </w:rPr>
        <w:t>3</w:t>
      </w:r>
      <w:r>
        <w:rPr>
          <w:rFonts w:hint="eastAsia"/>
          <w:color w:val="000000" w:themeColor="text1"/>
          <w:sz w:val="28"/>
          <w:szCs w:val="28"/>
        </w:rPr>
        <w:t>，耗水率（用水消耗量占总用水量的百分比）为49.7%。2020年全州各类用水消耗量见表11，各行政分区用水量、耗水量比较见图11。</w:t>
      </w:r>
    </w:p>
    <w:tbl>
      <w:tblPr>
        <w:tblStyle w:val="11"/>
        <w:tblW w:w="8369" w:type="dxa"/>
        <w:tblInd w:w="103" w:type="dxa"/>
        <w:tblLayout w:type="fixed"/>
        <w:tblCellMar>
          <w:top w:w="0" w:type="dxa"/>
          <w:left w:w="108" w:type="dxa"/>
          <w:bottom w:w="0" w:type="dxa"/>
          <w:right w:w="108" w:type="dxa"/>
        </w:tblCellMar>
      </w:tblPr>
      <w:tblGrid>
        <w:gridCol w:w="1989"/>
        <w:gridCol w:w="1063"/>
        <w:gridCol w:w="1063"/>
        <w:gridCol w:w="1064"/>
        <w:gridCol w:w="1063"/>
        <w:gridCol w:w="1063"/>
        <w:gridCol w:w="1064"/>
      </w:tblGrid>
      <w:tr>
        <w:tblPrEx>
          <w:tblCellMar>
            <w:top w:w="0" w:type="dxa"/>
            <w:left w:w="108" w:type="dxa"/>
            <w:bottom w:w="0" w:type="dxa"/>
            <w:right w:w="108" w:type="dxa"/>
          </w:tblCellMar>
        </w:tblPrEx>
        <w:trPr>
          <w:trHeight w:val="270" w:hRule="atLeast"/>
        </w:trPr>
        <w:tc>
          <w:tcPr>
            <w:tcW w:w="1989" w:type="dxa"/>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jc w:val="center"/>
              <w:rPr>
                <w:rFonts w:cs="宋体"/>
                <w:b/>
                <w:kern w:val="0"/>
                <w:sz w:val="18"/>
                <w:szCs w:val="18"/>
              </w:rPr>
            </w:pPr>
            <w:r>
              <w:rPr>
                <w:rFonts w:hint="eastAsia" w:cs="宋体"/>
                <w:b/>
                <w:kern w:val="0"/>
                <w:sz w:val="18"/>
                <w:szCs w:val="18"/>
              </w:rPr>
              <w:t>项目</w:t>
            </w:r>
          </w:p>
        </w:tc>
        <w:tc>
          <w:tcPr>
            <w:tcW w:w="1063" w:type="dxa"/>
            <w:tcBorders>
              <w:top w:val="single" w:color="auto" w:sz="4" w:space="0"/>
              <w:left w:val="nil"/>
              <w:bottom w:val="single" w:color="auto" w:sz="4" w:space="0"/>
              <w:right w:val="single" w:color="auto" w:sz="4" w:space="0"/>
            </w:tcBorders>
            <w:shd w:val="clear" w:color="auto" w:fill="auto"/>
            <w:vAlign w:val="center"/>
          </w:tcPr>
          <w:p>
            <w:pPr>
              <w:widowControl/>
              <w:jc w:val="center"/>
              <w:rPr>
                <w:rFonts w:cs="宋体"/>
                <w:b/>
                <w:bCs/>
                <w:kern w:val="0"/>
                <w:sz w:val="18"/>
                <w:szCs w:val="18"/>
              </w:rPr>
            </w:pPr>
            <w:r>
              <w:rPr>
                <w:rFonts w:hint="eastAsia" w:cs="宋体"/>
                <w:b/>
                <w:bCs/>
                <w:kern w:val="0"/>
                <w:sz w:val="18"/>
                <w:szCs w:val="18"/>
              </w:rPr>
              <w:t>农业</w:t>
            </w:r>
          </w:p>
        </w:tc>
        <w:tc>
          <w:tcPr>
            <w:tcW w:w="1063" w:type="dxa"/>
            <w:tcBorders>
              <w:top w:val="single" w:color="auto" w:sz="4" w:space="0"/>
              <w:left w:val="nil"/>
              <w:bottom w:val="single" w:color="auto" w:sz="4" w:space="0"/>
              <w:right w:val="single" w:color="auto" w:sz="4" w:space="0"/>
            </w:tcBorders>
            <w:shd w:val="clear" w:color="auto" w:fill="auto"/>
            <w:vAlign w:val="center"/>
          </w:tcPr>
          <w:p>
            <w:pPr>
              <w:widowControl/>
              <w:jc w:val="center"/>
              <w:rPr>
                <w:rFonts w:cs="宋体"/>
                <w:b/>
                <w:bCs/>
                <w:kern w:val="0"/>
                <w:sz w:val="18"/>
                <w:szCs w:val="18"/>
              </w:rPr>
            </w:pPr>
            <w:r>
              <w:rPr>
                <w:rFonts w:hint="eastAsia" w:cs="宋体"/>
                <w:b/>
                <w:bCs/>
                <w:kern w:val="0"/>
                <w:sz w:val="18"/>
                <w:szCs w:val="18"/>
              </w:rPr>
              <w:t>工业</w:t>
            </w:r>
          </w:p>
        </w:tc>
        <w:tc>
          <w:tcPr>
            <w:tcW w:w="1064" w:type="dxa"/>
            <w:tcBorders>
              <w:top w:val="single" w:color="auto" w:sz="4" w:space="0"/>
              <w:left w:val="nil"/>
              <w:bottom w:val="single" w:color="auto" w:sz="4" w:space="0"/>
              <w:right w:val="single" w:color="auto" w:sz="4" w:space="0"/>
            </w:tcBorders>
            <w:shd w:val="clear" w:color="auto" w:fill="auto"/>
            <w:vAlign w:val="center"/>
          </w:tcPr>
          <w:p>
            <w:pPr>
              <w:widowControl/>
              <w:jc w:val="center"/>
              <w:rPr>
                <w:rFonts w:cs="宋体"/>
                <w:b/>
                <w:bCs/>
                <w:kern w:val="0"/>
                <w:sz w:val="18"/>
                <w:szCs w:val="18"/>
              </w:rPr>
            </w:pPr>
            <w:r>
              <w:rPr>
                <w:rFonts w:hint="eastAsia" w:cs="宋体"/>
                <w:b/>
                <w:bCs/>
                <w:kern w:val="0"/>
                <w:sz w:val="18"/>
                <w:szCs w:val="18"/>
              </w:rPr>
              <w:t>居民生活</w:t>
            </w:r>
          </w:p>
        </w:tc>
        <w:tc>
          <w:tcPr>
            <w:tcW w:w="1063" w:type="dxa"/>
            <w:tcBorders>
              <w:top w:val="single" w:color="auto" w:sz="4" w:space="0"/>
              <w:left w:val="nil"/>
              <w:bottom w:val="single" w:color="auto" w:sz="4" w:space="0"/>
              <w:right w:val="single" w:color="auto" w:sz="4" w:space="0"/>
            </w:tcBorders>
            <w:shd w:val="clear" w:color="auto" w:fill="auto"/>
            <w:vAlign w:val="center"/>
          </w:tcPr>
          <w:p>
            <w:pPr>
              <w:widowControl/>
              <w:jc w:val="center"/>
              <w:rPr>
                <w:rFonts w:cs="宋体"/>
                <w:b/>
                <w:bCs/>
                <w:kern w:val="0"/>
                <w:sz w:val="18"/>
                <w:szCs w:val="18"/>
              </w:rPr>
            </w:pPr>
            <w:r>
              <w:rPr>
                <w:rFonts w:hint="eastAsia" w:cs="宋体"/>
                <w:b/>
                <w:bCs/>
                <w:kern w:val="0"/>
                <w:sz w:val="18"/>
                <w:szCs w:val="18"/>
              </w:rPr>
              <w:t>城镇公共</w:t>
            </w:r>
          </w:p>
        </w:tc>
        <w:tc>
          <w:tcPr>
            <w:tcW w:w="1063" w:type="dxa"/>
            <w:tcBorders>
              <w:top w:val="single" w:color="auto" w:sz="4" w:space="0"/>
              <w:left w:val="nil"/>
              <w:bottom w:val="single" w:color="auto" w:sz="4" w:space="0"/>
              <w:right w:val="single" w:color="auto" w:sz="4" w:space="0"/>
            </w:tcBorders>
            <w:shd w:val="clear" w:color="auto" w:fill="auto"/>
            <w:vAlign w:val="center"/>
          </w:tcPr>
          <w:p>
            <w:pPr>
              <w:widowControl/>
              <w:jc w:val="center"/>
              <w:rPr>
                <w:rFonts w:cs="宋体"/>
                <w:b/>
                <w:bCs/>
                <w:kern w:val="0"/>
                <w:sz w:val="18"/>
                <w:szCs w:val="18"/>
              </w:rPr>
            </w:pPr>
            <w:r>
              <w:rPr>
                <w:rFonts w:hint="eastAsia" w:cs="宋体"/>
                <w:b/>
                <w:bCs/>
                <w:kern w:val="0"/>
                <w:sz w:val="18"/>
                <w:szCs w:val="18"/>
              </w:rPr>
              <w:t>生态环境</w:t>
            </w:r>
          </w:p>
        </w:tc>
        <w:tc>
          <w:tcPr>
            <w:tcW w:w="1064" w:type="dxa"/>
            <w:tcBorders>
              <w:top w:val="single" w:color="auto" w:sz="4" w:space="0"/>
              <w:left w:val="nil"/>
              <w:bottom w:val="single" w:color="auto" w:sz="4" w:space="0"/>
              <w:right w:val="single" w:color="auto" w:sz="4" w:space="0"/>
            </w:tcBorders>
            <w:shd w:val="clear" w:color="auto" w:fill="auto"/>
            <w:vAlign w:val="center"/>
          </w:tcPr>
          <w:p>
            <w:pPr>
              <w:widowControl/>
              <w:jc w:val="center"/>
              <w:rPr>
                <w:rFonts w:cs="宋体"/>
                <w:b/>
                <w:bCs/>
                <w:kern w:val="0"/>
                <w:sz w:val="18"/>
                <w:szCs w:val="18"/>
              </w:rPr>
            </w:pPr>
            <w:r>
              <w:rPr>
                <w:rFonts w:hint="eastAsia" w:cs="宋体"/>
                <w:b/>
                <w:bCs/>
                <w:kern w:val="0"/>
                <w:sz w:val="18"/>
                <w:szCs w:val="18"/>
              </w:rPr>
              <w:t>耗水总量</w:t>
            </w:r>
          </w:p>
        </w:tc>
      </w:tr>
      <w:tr>
        <w:tblPrEx>
          <w:tblCellMar>
            <w:top w:w="0" w:type="dxa"/>
            <w:left w:w="108" w:type="dxa"/>
            <w:bottom w:w="0" w:type="dxa"/>
            <w:right w:w="108" w:type="dxa"/>
          </w:tblCellMar>
        </w:tblPrEx>
        <w:trPr>
          <w:trHeight w:val="240" w:hRule="atLeast"/>
        </w:trPr>
        <w:tc>
          <w:tcPr>
            <w:tcW w:w="1989" w:type="dxa"/>
            <w:tcBorders>
              <w:top w:val="nil"/>
              <w:left w:val="single" w:color="auto" w:sz="4" w:space="0"/>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用水量（亿m³）</w:t>
            </w:r>
          </w:p>
        </w:tc>
        <w:tc>
          <w:tcPr>
            <w:tcW w:w="1063"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6.58</w:t>
            </w:r>
          </w:p>
        </w:tc>
        <w:tc>
          <w:tcPr>
            <w:tcW w:w="1063"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0.47</w:t>
            </w:r>
          </w:p>
        </w:tc>
        <w:tc>
          <w:tcPr>
            <w:tcW w:w="1064"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1.23</w:t>
            </w:r>
          </w:p>
        </w:tc>
        <w:tc>
          <w:tcPr>
            <w:tcW w:w="1063"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0.24</w:t>
            </w:r>
          </w:p>
        </w:tc>
        <w:tc>
          <w:tcPr>
            <w:tcW w:w="1063"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0.11</w:t>
            </w:r>
          </w:p>
        </w:tc>
        <w:tc>
          <w:tcPr>
            <w:tcW w:w="1064"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8.64</w:t>
            </w:r>
          </w:p>
        </w:tc>
      </w:tr>
      <w:tr>
        <w:tblPrEx>
          <w:tblCellMar>
            <w:top w:w="0" w:type="dxa"/>
            <w:left w:w="108" w:type="dxa"/>
            <w:bottom w:w="0" w:type="dxa"/>
            <w:right w:w="108" w:type="dxa"/>
          </w:tblCellMar>
        </w:tblPrEx>
        <w:trPr>
          <w:trHeight w:val="270" w:hRule="atLeast"/>
        </w:trPr>
        <w:tc>
          <w:tcPr>
            <w:tcW w:w="1989" w:type="dxa"/>
            <w:tcBorders>
              <w:top w:val="nil"/>
              <w:left w:val="single" w:color="auto" w:sz="4" w:space="0"/>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耗水量（亿m³）</w:t>
            </w:r>
          </w:p>
        </w:tc>
        <w:tc>
          <w:tcPr>
            <w:tcW w:w="1063"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3.48</w:t>
            </w:r>
          </w:p>
        </w:tc>
        <w:tc>
          <w:tcPr>
            <w:tcW w:w="1063"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0.1</w:t>
            </w:r>
          </w:p>
        </w:tc>
        <w:tc>
          <w:tcPr>
            <w:tcW w:w="1064"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0.51</w:t>
            </w:r>
          </w:p>
        </w:tc>
        <w:tc>
          <w:tcPr>
            <w:tcW w:w="1063"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0.08</w:t>
            </w:r>
          </w:p>
        </w:tc>
        <w:tc>
          <w:tcPr>
            <w:tcW w:w="1063"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0.11</w:t>
            </w:r>
          </w:p>
        </w:tc>
        <w:tc>
          <w:tcPr>
            <w:tcW w:w="1064"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4.29</w:t>
            </w:r>
          </w:p>
        </w:tc>
      </w:tr>
      <w:tr>
        <w:tblPrEx>
          <w:tblCellMar>
            <w:top w:w="0" w:type="dxa"/>
            <w:left w:w="108" w:type="dxa"/>
            <w:bottom w:w="0" w:type="dxa"/>
            <w:right w:w="108" w:type="dxa"/>
          </w:tblCellMar>
        </w:tblPrEx>
        <w:trPr>
          <w:trHeight w:val="240" w:hRule="atLeast"/>
        </w:trPr>
        <w:tc>
          <w:tcPr>
            <w:tcW w:w="1989" w:type="dxa"/>
            <w:tcBorders>
              <w:top w:val="nil"/>
              <w:left w:val="single" w:color="auto" w:sz="4" w:space="0"/>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耗水率（%）</w:t>
            </w:r>
          </w:p>
        </w:tc>
        <w:tc>
          <w:tcPr>
            <w:tcW w:w="1063"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52.9</w:t>
            </w:r>
          </w:p>
        </w:tc>
        <w:tc>
          <w:tcPr>
            <w:tcW w:w="1063"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21.3</w:t>
            </w:r>
          </w:p>
        </w:tc>
        <w:tc>
          <w:tcPr>
            <w:tcW w:w="1064"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41.5</w:t>
            </w:r>
          </w:p>
        </w:tc>
        <w:tc>
          <w:tcPr>
            <w:tcW w:w="1063"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33.3</w:t>
            </w:r>
          </w:p>
        </w:tc>
        <w:tc>
          <w:tcPr>
            <w:tcW w:w="1063"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100.0</w:t>
            </w:r>
          </w:p>
        </w:tc>
        <w:tc>
          <w:tcPr>
            <w:tcW w:w="1064"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49.7</w:t>
            </w:r>
          </w:p>
        </w:tc>
      </w:tr>
      <w:tr>
        <w:tblPrEx>
          <w:tblCellMar>
            <w:top w:w="0" w:type="dxa"/>
            <w:left w:w="108" w:type="dxa"/>
            <w:bottom w:w="0" w:type="dxa"/>
            <w:right w:w="108" w:type="dxa"/>
          </w:tblCellMar>
        </w:tblPrEx>
        <w:trPr>
          <w:trHeight w:val="240" w:hRule="atLeast"/>
        </w:trPr>
        <w:tc>
          <w:tcPr>
            <w:tcW w:w="1989" w:type="dxa"/>
            <w:tcBorders>
              <w:top w:val="nil"/>
              <w:left w:val="single" w:color="auto" w:sz="4" w:space="0"/>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占总耗水量比例（%）</w:t>
            </w:r>
          </w:p>
        </w:tc>
        <w:tc>
          <w:tcPr>
            <w:tcW w:w="1063"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81.1</w:t>
            </w:r>
          </w:p>
        </w:tc>
        <w:tc>
          <w:tcPr>
            <w:tcW w:w="1063"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2.3</w:t>
            </w:r>
          </w:p>
        </w:tc>
        <w:tc>
          <w:tcPr>
            <w:tcW w:w="1064"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11.9</w:t>
            </w:r>
          </w:p>
        </w:tc>
        <w:tc>
          <w:tcPr>
            <w:tcW w:w="1063"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1.9</w:t>
            </w:r>
          </w:p>
        </w:tc>
        <w:tc>
          <w:tcPr>
            <w:tcW w:w="1063"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2.6</w:t>
            </w:r>
          </w:p>
        </w:tc>
        <w:tc>
          <w:tcPr>
            <w:tcW w:w="1064"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100.0</w:t>
            </w:r>
          </w:p>
        </w:tc>
      </w:tr>
    </w:tbl>
    <w:p>
      <w:pPr>
        <w:ind w:leftChars="-1" w:hanging="2"/>
        <w:jc w:val="left"/>
        <w:rPr>
          <w:color w:val="000000" w:themeColor="text1"/>
          <w:sz w:val="18"/>
          <w:szCs w:val="18"/>
        </w:rPr>
      </w:pPr>
      <w:r>
        <w:rPr>
          <w:rFonts w:hint="eastAsia"/>
          <w:color w:val="000000" w:themeColor="text1"/>
          <w:sz w:val="18"/>
          <w:szCs w:val="18"/>
        </w:rPr>
        <w:t>注：农业含林牧渔畜，城镇公共为服务业和建筑业</w:t>
      </w:r>
    </w:p>
    <w:p>
      <w:pPr>
        <w:ind w:hanging="142"/>
        <w:jc w:val="center"/>
        <w:rPr>
          <w:b/>
          <w:color w:val="000000" w:themeColor="text1"/>
          <w:sz w:val="28"/>
          <w:szCs w:val="28"/>
        </w:rPr>
      </w:pPr>
      <w:r>
        <w:rPr>
          <w:rFonts w:hint="eastAsia"/>
          <w:b/>
          <w:color w:val="000000" w:themeColor="text1"/>
          <w:sz w:val="28"/>
          <w:szCs w:val="28"/>
        </w:rPr>
        <w:t>△表11  2020年全州各类用水消耗量</w:t>
      </w:r>
    </w:p>
    <w:p>
      <w:pPr>
        <w:ind w:hanging="142"/>
        <w:jc w:val="center"/>
        <w:rPr>
          <w:color w:val="000000" w:themeColor="text1"/>
          <w:sz w:val="28"/>
          <w:szCs w:val="28"/>
        </w:rPr>
      </w:pPr>
      <w:r>
        <w:rPr>
          <w:color w:val="000000" w:themeColor="text1"/>
          <w:sz w:val="28"/>
          <w:szCs w:val="28"/>
        </w:rPr>
        <w:drawing>
          <wp:inline distT="0" distB="0" distL="0" distR="0">
            <wp:extent cx="5274310" cy="2501900"/>
            <wp:effectExtent l="19050" t="0" r="21590" b="0"/>
            <wp:docPr id="20" name="图表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pPr>
        <w:ind w:hanging="142"/>
        <w:jc w:val="center"/>
        <w:rPr>
          <w:b/>
          <w:color w:val="000000" w:themeColor="text1"/>
          <w:sz w:val="28"/>
          <w:szCs w:val="28"/>
        </w:rPr>
      </w:pPr>
      <w:r>
        <w:rPr>
          <w:rFonts w:hint="eastAsia"/>
          <w:b/>
          <w:color w:val="000000" w:themeColor="text1"/>
          <w:sz w:val="28"/>
          <w:szCs w:val="28"/>
        </w:rPr>
        <w:t>△</w:t>
      </w:r>
      <w:r>
        <w:rPr>
          <w:b/>
          <w:color w:val="000000" w:themeColor="text1"/>
          <w:sz w:val="28"/>
          <w:szCs w:val="28"/>
        </w:rPr>
        <w:t>图</w:t>
      </w:r>
      <w:r>
        <w:rPr>
          <w:rFonts w:hint="eastAsia"/>
          <w:b/>
          <w:color w:val="000000" w:themeColor="text1"/>
          <w:sz w:val="28"/>
          <w:szCs w:val="28"/>
        </w:rPr>
        <w:t>11  各行政分区用水量、耗水量比较图</w:t>
      </w:r>
    </w:p>
    <w:p>
      <w:pPr>
        <w:pStyle w:val="2"/>
      </w:pPr>
      <w:r>
        <w:rPr>
          <w:b w:val="0"/>
          <w:color w:val="000000" w:themeColor="text1"/>
          <w:sz w:val="28"/>
          <w:szCs w:val="28"/>
        </w:rPr>
        <w:br w:type="page"/>
      </w:r>
      <w:bookmarkStart w:id="10" w:name="_Toc90247721"/>
      <w:r>
        <w:rPr>
          <w:rFonts w:ascii="黑体" w:eastAsia="黑体"/>
          <w:kern w:val="32"/>
        </w:rPr>
        <w:t>四</w:t>
      </w:r>
      <w:r>
        <w:rPr>
          <w:rFonts w:hint="eastAsia" w:ascii="黑体" w:eastAsia="黑体"/>
          <w:kern w:val="32"/>
        </w:rPr>
        <w:t>、水资源开发利用</w:t>
      </w:r>
      <w:bookmarkEnd w:id="10"/>
    </w:p>
    <w:p>
      <w:pPr>
        <w:rPr>
          <w:b/>
          <w:sz w:val="28"/>
          <w:szCs w:val="28"/>
        </w:rPr>
      </w:pPr>
      <w:r>
        <w:rPr>
          <w:rFonts w:hint="eastAsia"/>
          <w:b/>
          <w:sz w:val="28"/>
          <w:szCs w:val="28"/>
        </w:rPr>
        <w:t>（一）用水指标</w:t>
      </w:r>
    </w:p>
    <w:p>
      <w:pPr>
        <w:widowControl/>
        <w:ind w:firstLine="560" w:firstLineChars="200"/>
        <w:jc w:val="left"/>
        <w:rPr>
          <w:color w:val="000000" w:themeColor="text1"/>
          <w:sz w:val="28"/>
          <w:szCs w:val="28"/>
        </w:rPr>
      </w:pPr>
      <w:r>
        <w:rPr>
          <w:rFonts w:hint="eastAsia"/>
          <w:color w:val="000000" w:themeColor="text1"/>
          <w:sz w:val="28"/>
          <w:szCs w:val="28"/>
        </w:rPr>
        <w:t>2020年人均综合用水量347.34m</w:t>
      </w:r>
      <w:r>
        <w:rPr>
          <w:rFonts w:hint="eastAsia"/>
          <w:color w:val="000000" w:themeColor="text1"/>
          <w:sz w:val="28"/>
          <w:szCs w:val="28"/>
          <w:vertAlign w:val="superscript"/>
        </w:rPr>
        <w:t>3</w:t>
      </w:r>
      <w:r>
        <w:rPr>
          <w:rFonts w:hint="eastAsia"/>
          <w:color w:val="000000" w:themeColor="text1"/>
          <w:sz w:val="28"/>
          <w:szCs w:val="28"/>
        </w:rPr>
        <w:t>；万元国内生产总值（当年价）用水量</w:t>
      </w:r>
      <w:r>
        <w:rPr>
          <w:rFonts w:hint="eastAsia"/>
          <w:color w:val="000000" w:themeColor="text1"/>
          <w:sz w:val="28"/>
          <w:szCs w:val="28"/>
          <w:lang w:val="en-US" w:eastAsia="zh-CN"/>
        </w:rPr>
        <w:t>114.78</w:t>
      </w:r>
      <w:r>
        <w:rPr>
          <w:rFonts w:hint="eastAsia"/>
          <w:color w:val="000000" w:themeColor="text1"/>
          <w:sz w:val="28"/>
          <w:szCs w:val="28"/>
        </w:rPr>
        <w:t>m</w:t>
      </w:r>
      <w:r>
        <w:rPr>
          <w:rFonts w:hint="eastAsia"/>
          <w:color w:val="000000" w:themeColor="text1"/>
          <w:sz w:val="28"/>
          <w:szCs w:val="28"/>
          <w:vertAlign w:val="superscript"/>
        </w:rPr>
        <w:t>3</w:t>
      </w:r>
      <w:r>
        <w:rPr>
          <w:rFonts w:hint="eastAsia"/>
          <w:color w:val="000000" w:themeColor="text1"/>
          <w:sz w:val="28"/>
          <w:szCs w:val="28"/>
        </w:rPr>
        <w:t>，万元工业增加值（当年价）用水量28.72 m</w:t>
      </w:r>
      <w:r>
        <w:rPr>
          <w:rFonts w:hint="eastAsia"/>
          <w:color w:val="000000" w:themeColor="text1"/>
          <w:sz w:val="28"/>
          <w:szCs w:val="28"/>
          <w:vertAlign w:val="superscript"/>
        </w:rPr>
        <w:t>3</w:t>
      </w:r>
      <w:r>
        <w:rPr>
          <w:rFonts w:hint="eastAsia"/>
          <w:color w:val="000000" w:themeColor="text1"/>
          <w:sz w:val="28"/>
          <w:szCs w:val="28"/>
        </w:rPr>
        <w:t>，按2015年不变价计算，万元国内生产总值用水量124.92 m</w:t>
      </w:r>
      <w:r>
        <w:rPr>
          <w:rFonts w:hint="eastAsia"/>
          <w:color w:val="000000" w:themeColor="text1"/>
          <w:sz w:val="28"/>
          <w:szCs w:val="28"/>
          <w:vertAlign w:val="superscript"/>
        </w:rPr>
        <w:t>3</w:t>
      </w:r>
      <w:r>
        <w:rPr>
          <w:rFonts w:hint="eastAsia"/>
          <w:color w:val="000000" w:themeColor="text1"/>
          <w:sz w:val="28"/>
          <w:szCs w:val="28"/>
        </w:rPr>
        <w:t>，万元工业增加值用水量28.45 m</w:t>
      </w:r>
      <w:r>
        <w:rPr>
          <w:rFonts w:hint="eastAsia"/>
          <w:color w:val="000000" w:themeColor="text1"/>
          <w:sz w:val="28"/>
          <w:szCs w:val="28"/>
          <w:vertAlign w:val="superscript"/>
        </w:rPr>
        <w:t>3</w:t>
      </w:r>
      <w:r>
        <w:rPr>
          <w:rFonts w:hint="eastAsia"/>
          <w:color w:val="000000" w:themeColor="text1"/>
          <w:sz w:val="28"/>
          <w:szCs w:val="28"/>
        </w:rPr>
        <w:t>；农田灌溉有效利用系数0.536；城镇居民生活（不含公共用水）人均日用水量141.20L，农村居民生活（不含牲畜用水）人均日用水量129.36L。</w:t>
      </w:r>
      <w:bookmarkStart w:id="13" w:name="_GoBack"/>
      <w:bookmarkEnd w:id="13"/>
    </w:p>
    <w:p>
      <w:pPr>
        <w:widowControl/>
        <w:ind w:firstLine="560" w:firstLineChars="200"/>
        <w:jc w:val="left"/>
        <w:rPr>
          <w:color w:val="000000" w:themeColor="text1"/>
          <w:sz w:val="28"/>
          <w:szCs w:val="28"/>
        </w:rPr>
      </w:pPr>
      <w:r>
        <w:rPr>
          <w:rFonts w:hint="eastAsia"/>
          <w:color w:val="000000" w:themeColor="text1"/>
          <w:sz w:val="28"/>
          <w:szCs w:val="28"/>
        </w:rPr>
        <w:t>2020年各行政分区主要用水指标见表12。</w:t>
      </w:r>
    </w:p>
    <w:tbl>
      <w:tblPr>
        <w:tblStyle w:val="11"/>
        <w:tblW w:w="8510" w:type="dxa"/>
        <w:tblInd w:w="103" w:type="dxa"/>
        <w:tblLayout w:type="fixed"/>
        <w:tblCellMar>
          <w:top w:w="0" w:type="dxa"/>
          <w:left w:w="108" w:type="dxa"/>
          <w:bottom w:w="0" w:type="dxa"/>
          <w:right w:w="108" w:type="dxa"/>
        </w:tblCellMar>
      </w:tblPr>
      <w:tblGrid>
        <w:gridCol w:w="809"/>
        <w:gridCol w:w="897"/>
        <w:gridCol w:w="993"/>
        <w:gridCol w:w="992"/>
        <w:gridCol w:w="1032"/>
        <w:gridCol w:w="952"/>
        <w:gridCol w:w="1006"/>
        <w:gridCol w:w="979"/>
        <w:gridCol w:w="850"/>
      </w:tblGrid>
      <w:tr>
        <w:tblPrEx>
          <w:tblCellMar>
            <w:top w:w="0" w:type="dxa"/>
            <w:left w:w="108" w:type="dxa"/>
            <w:bottom w:w="0" w:type="dxa"/>
            <w:right w:w="108" w:type="dxa"/>
          </w:tblCellMar>
        </w:tblPrEx>
        <w:trPr>
          <w:trHeight w:val="270" w:hRule="atLeast"/>
        </w:trPr>
        <w:tc>
          <w:tcPr>
            <w:tcW w:w="809"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cs="宋体"/>
                <w:b/>
                <w:bCs/>
                <w:kern w:val="0"/>
                <w:sz w:val="18"/>
                <w:szCs w:val="18"/>
              </w:rPr>
            </w:pPr>
            <w:r>
              <w:rPr>
                <w:rFonts w:hint="eastAsia" w:cs="宋体"/>
                <w:b/>
                <w:bCs/>
                <w:kern w:val="0"/>
                <w:sz w:val="18"/>
                <w:szCs w:val="18"/>
              </w:rPr>
              <w:t>行政  分区</w:t>
            </w:r>
          </w:p>
        </w:tc>
        <w:tc>
          <w:tcPr>
            <w:tcW w:w="2882" w:type="dxa"/>
            <w:gridSpan w:val="3"/>
            <w:tcBorders>
              <w:top w:val="single" w:color="auto" w:sz="4" w:space="0"/>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人均用水量</w:t>
            </w:r>
          </w:p>
        </w:tc>
        <w:tc>
          <w:tcPr>
            <w:tcW w:w="1984" w:type="dxa"/>
            <w:gridSpan w:val="2"/>
            <w:tcBorders>
              <w:top w:val="single" w:color="auto" w:sz="4" w:space="0"/>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万元国内生产总值  用水量</w:t>
            </w:r>
          </w:p>
        </w:tc>
        <w:tc>
          <w:tcPr>
            <w:tcW w:w="1985" w:type="dxa"/>
            <w:gridSpan w:val="2"/>
            <w:tcBorders>
              <w:top w:val="single" w:color="auto" w:sz="4" w:space="0"/>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万元工业增加值值  用水量</w:t>
            </w:r>
          </w:p>
        </w:tc>
        <w:tc>
          <w:tcPr>
            <w:tcW w:w="850"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农田灌溉水有效利用系数</w:t>
            </w:r>
          </w:p>
        </w:tc>
      </w:tr>
      <w:tr>
        <w:tblPrEx>
          <w:tblCellMar>
            <w:top w:w="0" w:type="dxa"/>
            <w:left w:w="108" w:type="dxa"/>
            <w:bottom w:w="0" w:type="dxa"/>
            <w:right w:w="108" w:type="dxa"/>
          </w:tblCellMar>
        </w:tblPrEx>
        <w:trPr>
          <w:trHeight w:val="240" w:hRule="atLeast"/>
        </w:trPr>
        <w:tc>
          <w:tcPr>
            <w:tcW w:w="809" w:type="dxa"/>
            <w:vMerge w:val="continue"/>
            <w:tcBorders>
              <w:top w:val="single" w:color="auto" w:sz="4" w:space="0"/>
              <w:left w:val="single" w:color="auto" w:sz="4" w:space="0"/>
              <w:bottom w:val="single" w:color="auto" w:sz="4" w:space="0"/>
              <w:right w:val="single" w:color="auto" w:sz="4" w:space="0"/>
            </w:tcBorders>
            <w:vAlign w:val="center"/>
          </w:tcPr>
          <w:p>
            <w:pPr>
              <w:widowControl/>
              <w:jc w:val="center"/>
              <w:rPr>
                <w:rFonts w:cs="宋体"/>
                <w:b/>
                <w:bCs/>
                <w:kern w:val="0"/>
                <w:sz w:val="18"/>
                <w:szCs w:val="18"/>
              </w:rPr>
            </w:pPr>
          </w:p>
        </w:tc>
        <w:tc>
          <w:tcPr>
            <w:tcW w:w="897"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综合  用水量</w:t>
            </w:r>
          </w:p>
        </w:tc>
        <w:tc>
          <w:tcPr>
            <w:tcW w:w="993"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城镇居民生活</w:t>
            </w:r>
          </w:p>
        </w:tc>
        <w:tc>
          <w:tcPr>
            <w:tcW w:w="992"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农村居民生活</w:t>
            </w:r>
          </w:p>
        </w:tc>
        <w:tc>
          <w:tcPr>
            <w:tcW w:w="1032"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当年价</w:t>
            </w:r>
          </w:p>
        </w:tc>
        <w:tc>
          <w:tcPr>
            <w:tcW w:w="952"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不变价</w:t>
            </w:r>
          </w:p>
        </w:tc>
        <w:tc>
          <w:tcPr>
            <w:tcW w:w="1006"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当年价</w:t>
            </w:r>
          </w:p>
        </w:tc>
        <w:tc>
          <w:tcPr>
            <w:tcW w:w="97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不变价</w:t>
            </w:r>
          </w:p>
        </w:tc>
        <w:tc>
          <w:tcPr>
            <w:tcW w:w="850" w:type="dxa"/>
            <w:vMerge w:val="continue"/>
            <w:tcBorders>
              <w:top w:val="single" w:color="auto" w:sz="4" w:space="0"/>
              <w:left w:val="single" w:color="auto" w:sz="4" w:space="0"/>
              <w:bottom w:val="single" w:color="auto" w:sz="4" w:space="0"/>
              <w:right w:val="single" w:color="auto" w:sz="4" w:space="0"/>
            </w:tcBorders>
            <w:vAlign w:val="center"/>
          </w:tcPr>
          <w:p>
            <w:pPr>
              <w:widowControl/>
              <w:jc w:val="center"/>
              <w:rPr>
                <w:rFonts w:cs="宋体"/>
                <w:kern w:val="0"/>
                <w:sz w:val="18"/>
                <w:szCs w:val="18"/>
              </w:rPr>
            </w:pPr>
          </w:p>
        </w:tc>
      </w:tr>
      <w:tr>
        <w:tblPrEx>
          <w:tblCellMar>
            <w:top w:w="0" w:type="dxa"/>
            <w:left w:w="108" w:type="dxa"/>
            <w:bottom w:w="0" w:type="dxa"/>
            <w:right w:w="108" w:type="dxa"/>
          </w:tblCellMar>
        </w:tblPrEx>
        <w:trPr>
          <w:trHeight w:val="285" w:hRule="atLeast"/>
        </w:trPr>
        <w:tc>
          <w:tcPr>
            <w:tcW w:w="809" w:type="dxa"/>
            <w:vMerge w:val="continue"/>
            <w:tcBorders>
              <w:top w:val="single" w:color="auto" w:sz="4" w:space="0"/>
              <w:left w:val="single" w:color="auto" w:sz="4" w:space="0"/>
              <w:bottom w:val="single" w:color="auto" w:sz="4" w:space="0"/>
              <w:right w:val="single" w:color="auto" w:sz="4" w:space="0"/>
            </w:tcBorders>
            <w:vAlign w:val="center"/>
          </w:tcPr>
          <w:p>
            <w:pPr>
              <w:widowControl/>
              <w:jc w:val="center"/>
              <w:rPr>
                <w:rFonts w:cs="宋体"/>
                <w:b/>
                <w:bCs/>
                <w:kern w:val="0"/>
                <w:sz w:val="18"/>
                <w:szCs w:val="18"/>
              </w:rPr>
            </w:pPr>
          </w:p>
        </w:tc>
        <w:tc>
          <w:tcPr>
            <w:tcW w:w="897"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m</w:t>
            </w:r>
            <w:r>
              <w:rPr>
                <w:rFonts w:hint="eastAsia" w:cs="宋体"/>
                <w:kern w:val="0"/>
                <w:sz w:val="18"/>
                <w:szCs w:val="18"/>
                <w:vertAlign w:val="superscript"/>
              </w:rPr>
              <w:t>3</w:t>
            </w:r>
            <w:r>
              <w:rPr>
                <w:rFonts w:hint="eastAsia" w:cs="宋体"/>
                <w:kern w:val="0"/>
                <w:sz w:val="18"/>
                <w:szCs w:val="18"/>
              </w:rPr>
              <w:t>/人·a</w:t>
            </w:r>
          </w:p>
        </w:tc>
        <w:tc>
          <w:tcPr>
            <w:tcW w:w="993"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L/人·d</w:t>
            </w:r>
          </w:p>
        </w:tc>
        <w:tc>
          <w:tcPr>
            <w:tcW w:w="992"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L/人·d</w:t>
            </w:r>
          </w:p>
        </w:tc>
        <w:tc>
          <w:tcPr>
            <w:tcW w:w="1032"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m</w:t>
            </w:r>
            <w:r>
              <w:rPr>
                <w:rFonts w:hint="eastAsia" w:cs="宋体"/>
                <w:kern w:val="0"/>
                <w:sz w:val="18"/>
                <w:szCs w:val="18"/>
                <w:vertAlign w:val="superscript"/>
              </w:rPr>
              <w:t>3</w:t>
            </w:r>
          </w:p>
        </w:tc>
        <w:tc>
          <w:tcPr>
            <w:tcW w:w="952"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m</w:t>
            </w:r>
            <w:r>
              <w:rPr>
                <w:rFonts w:hint="eastAsia" w:cs="宋体"/>
                <w:kern w:val="0"/>
                <w:sz w:val="18"/>
                <w:szCs w:val="18"/>
                <w:vertAlign w:val="superscript"/>
              </w:rPr>
              <w:t>3</w:t>
            </w:r>
          </w:p>
        </w:tc>
        <w:tc>
          <w:tcPr>
            <w:tcW w:w="1006"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m</w:t>
            </w:r>
            <w:r>
              <w:rPr>
                <w:rFonts w:hint="eastAsia" w:cs="宋体"/>
                <w:kern w:val="0"/>
                <w:sz w:val="18"/>
                <w:szCs w:val="18"/>
                <w:vertAlign w:val="superscript"/>
              </w:rPr>
              <w:t>3</w:t>
            </w:r>
          </w:p>
        </w:tc>
        <w:tc>
          <w:tcPr>
            <w:tcW w:w="97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m</w:t>
            </w:r>
            <w:r>
              <w:rPr>
                <w:rFonts w:hint="eastAsia" w:cs="宋体"/>
                <w:kern w:val="0"/>
                <w:sz w:val="18"/>
                <w:szCs w:val="18"/>
                <w:vertAlign w:val="superscript"/>
              </w:rPr>
              <w:t>3</w:t>
            </w:r>
          </w:p>
        </w:tc>
        <w:tc>
          <w:tcPr>
            <w:tcW w:w="850" w:type="dxa"/>
            <w:vMerge w:val="continue"/>
            <w:tcBorders>
              <w:top w:val="single" w:color="auto" w:sz="4" w:space="0"/>
              <w:left w:val="single" w:color="auto" w:sz="4" w:space="0"/>
              <w:bottom w:val="single" w:color="auto" w:sz="4" w:space="0"/>
              <w:right w:val="single" w:color="auto" w:sz="4" w:space="0"/>
            </w:tcBorders>
            <w:vAlign w:val="center"/>
          </w:tcPr>
          <w:p>
            <w:pPr>
              <w:widowControl/>
              <w:jc w:val="center"/>
              <w:rPr>
                <w:rFonts w:cs="宋体"/>
                <w:kern w:val="0"/>
                <w:sz w:val="18"/>
                <w:szCs w:val="18"/>
              </w:rPr>
            </w:pPr>
          </w:p>
        </w:tc>
      </w:tr>
      <w:tr>
        <w:tblPrEx>
          <w:tblCellMar>
            <w:top w:w="0" w:type="dxa"/>
            <w:left w:w="108" w:type="dxa"/>
            <w:bottom w:w="0" w:type="dxa"/>
            <w:right w:w="108" w:type="dxa"/>
          </w:tblCellMar>
        </w:tblPrEx>
        <w:trPr>
          <w:trHeight w:val="270" w:hRule="atLeast"/>
        </w:trPr>
        <w:tc>
          <w:tcPr>
            <w:tcW w:w="809"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吉首市</w:t>
            </w:r>
          </w:p>
        </w:tc>
        <w:tc>
          <w:tcPr>
            <w:tcW w:w="897"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275.60</w:t>
            </w:r>
          </w:p>
        </w:tc>
        <w:tc>
          <w:tcPr>
            <w:tcW w:w="993"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138.77</w:t>
            </w:r>
          </w:p>
        </w:tc>
        <w:tc>
          <w:tcPr>
            <w:tcW w:w="992" w:type="dxa"/>
            <w:tcBorders>
              <w:top w:val="nil"/>
              <w:left w:val="nil"/>
              <w:bottom w:val="single" w:color="auto" w:sz="4" w:space="0"/>
              <w:right w:val="single" w:color="auto" w:sz="4" w:space="0"/>
            </w:tcBorders>
            <w:shd w:val="clear" w:color="auto" w:fill="auto"/>
            <w:noWrap/>
            <w:vAlign w:val="center"/>
          </w:tcPr>
          <w:p>
            <w:pPr>
              <w:jc w:val="center"/>
              <w:rPr>
                <w:rFonts w:cs="宋体"/>
                <w:color w:val="000000" w:themeColor="text1"/>
                <w:sz w:val="18"/>
                <w:szCs w:val="18"/>
              </w:rPr>
            </w:pPr>
            <w:r>
              <w:rPr>
                <w:rFonts w:hint="eastAsia"/>
                <w:color w:val="000000" w:themeColor="text1"/>
                <w:sz w:val="18"/>
                <w:szCs w:val="18"/>
              </w:rPr>
              <w:t>127.04</w:t>
            </w:r>
          </w:p>
        </w:tc>
        <w:tc>
          <w:tcPr>
            <w:tcW w:w="1032" w:type="dxa"/>
            <w:tcBorders>
              <w:top w:val="nil"/>
              <w:left w:val="nil"/>
              <w:bottom w:val="single" w:color="auto" w:sz="4" w:space="0"/>
              <w:right w:val="single" w:color="auto" w:sz="4" w:space="0"/>
            </w:tcBorders>
            <w:shd w:val="clear" w:color="auto" w:fill="auto"/>
            <w:noWrap/>
            <w:vAlign w:val="center"/>
          </w:tcPr>
          <w:p>
            <w:pPr>
              <w:jc w:val="center"/>
              <w:rPr>
                <w:rFonts w:cs="宋体"/>
                <w:color w:val="000000" w:themeColor="text1"/>
                <w:sz w:val="18"/>
                <w:szCs w:val="18"/>
              </w:rPr>
            </w:pPr>
            <w:r>
              <w:rPr>
                <w:rFonts w:hint="eastAsia"/>
                <w:color w:val="000000" w:themeColor="text1"/>
                <w:sz w:val="18"/>
                <w:szCs w:val="18"/>
              </w:rPr>
              <w:t>50.59</w:t>
            </w:r>
          </w:p>
        </w:tc>
        <w:tc>
          <w:tcPr>
            <w:tcW w:w="952" w:type="dxa"/>
            <w:tcBorders>
              <w:top w:val="nil"/>
              <w:left w:val="nil"/>
              <w:bottom w:val="single" w:color="auto" w:sz="4" w:space="0"/>
              <w:right w:val="single" w:color="auto" w:sz="4" w:space="0"/>
            </w:tcBorders>
            <w:shd w:val="clear" w:color="auto" w:fill="auto"/>
            <w:noWrap/>
            <w:vAlign w:val="center"/>
          </w:tcPr>
          <w:p>
            <w:pPr>
              <w:jc w:val="center"/>
              <w:rPr>
                <w:rFonts w:cs="宋体"/>
                <w:color w:val="000000" w:themeColor="text1"/>
                <w:sz w:val="18"/>
                <w:szCs w:val="18"/>
              </w:rPr>
            </w:pPr>
            <w:r>
              <w:rPr>
                <w:rFonts w:hint="eastAsia"/>
                <w:color w:val="000000" w:themeColor="text1"/>
                <w:sz w:val="18"/>
                <w:szCs w:val="18"/>
              </w:rPr>
              <w:t>53.02</w:t>
            </w:r>
          </w:p>
        </w:tc>
        <w:tc>
          <w:tcPr>
            <w:tcW w:w="1006"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27.78</w:t>
            </w:r>
          </w:p>
        </w:tc>
        <w:tc>
          <w:tcPr>
            <w:tcW w:w="97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27.52</w:t>
            </w:r>
          </w:p>
        </w:tc>
        <w:tc>
          <w:tcPr>
            <w:tcW w:w="850" w:type="dxa"/>
            <w:tcBorders>
              <w:top w:val="nil"/>
              <w:left w:val="nil"/>
              <w:bottom w:val="single" w:color="auto" w:sz="4" w:space="0"/>
              <w:right w:val="single" w:color="auto" w:sz="4" w:space="0"/>
            </w:tcBorders>
            <w:shd w:val="clear" w:color="auto" w:fill="auto"/>
            <w:noWrap/>
            <w:vAlign w:val="center"/>
          </w:tcPr>
          <w:p>
            <w:pPr>
              <w:widowControl/>
              <w:jc w:val="both"/>
              <w:rPr>
                <w:rFonts w:hint="default" w:eastAsia="宋体" w:cs="宋体"/>
                <w:kern w:val="0"/>
                <w:sz w:val="18"/>
                <w:szCs w:val="18"/>
                <w:lang w:val="en-US" w:eastAsia="zh-CN"/>
              </w:rPr>
            </w:pPr>
            <w:r>
              <w:rPr>
                <w:rFonts w:hint="eastAsia" w:cs="宋体"/>
                <w:kern w:val="0"/>
                <w:sz w:val="18"/>
                <w:szCs w:val="18"/>
                <w:lang w:val="en-US" w:eastAsia="zh-CN"/>
              </w:rPr>
              <w:t xml:space="preserve"> 0.524</w:t>
            </w:r>
          </w:p>
        </w:tc>
      </w:tr>
      <w:tr>
        <w:tblPrEx>
          <w:tblCellMar>
            <w:top w:w="0" w:type="dxa"/>
            <w:left w:w="108" w:type="dxa"/>
            <w:bottom w:w="0" w:type="dxa"/>
            <w:right w:w="108" w:type="dxa"/>
          </w:tblCellMar>
        </w:tblPrEx>
        <w:trPr>
          <w:trHeight w:val="270" w:hRule="atLeast"/>
        </w:trPr>
        <w:tc>
          <w:tcPr>
            <w:tcW w:w="809"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泸溪县</w:t>
            </w:r>
          </w:p>
        </w:tc>
        <w:tc>
          <w:tcPr>
            <w:tcW w:w="897"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341.24</w:t>
            </w:r>
          </w:p>
        </w:tc>
        <w:tc>
          <w:tcPr>
            <w:tcW w:w="993"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137.62</w:t>
            </w:r>
          </w:p>
        </w:tc>
        <w:tc>
          <w:tcPr>
            <w:tcW w:w="992" w:type="dxa"/>
            <w:tcBorders>
              <w:top w:val="nil"/>
              <w:left w:val="nil"/>
              <w:bottom w:val="single" w:color="auto" w:sz="4" w:space="0"/>
              <w:right w:val="single" w:color="auto" w:sz="4" w:space="0"/>
            </w:tcBorders>
            <w:shd w:val="clear" w:color="auto" w:fill="auto"/>
            <w:noWrap/>
            <w:vAlign w:val="center"/>
          </w:tcPr>
          <w:p>
            <w:pPr>
              <w:jc w:val="center"/>
              <w:rPr>
                <w:rFonts w:cs="宋体"/>
                <w:color w:val="000000" w:themeColor="text1"/>
                <w:sz w:val="18"/>
                <w:szCs w:val="18"/>
              </w:rPr>
            </w:pPr>
            <w:r>
              <w:rPr>
                <w:rFonts w:hint="eastAsia"/>
                <w:color w:val="000000" w:themeColor="text1"/>
                <w:sz w:val="18"/>
                <w:szCs w:val="18"/>
              </w:rPr>
              <w:t>126.01</w:t>
            </w:r>
          </w:p>
        </w:tc>
        <w:tc>
          <w:tcPr>
            <w:tcW w:w="1032" w:type="dxa"/>
            <w:tcBorders>
              <w:top w:val="nil"/>
              <w:left w:val="nil"/>
              <w:bottom w:val="single" w:color="auto" w:sz="4" w:space="0"/>
              <w:right w:val="single" w:color="auto" w:sz="4" w:space="0"/>
            </w:tcBorders>
            <w:shd w:val="clear" w:color="auto" w:fill="auto"/>
            <w:noWrap/>
            <w:vAlign w:val="center"/>
          </w:tcPr>
          <w:p>
            <w:pPr>
              <w:jc w:val="center"/>
              <w:rPr>
                <w:rFonts w:cs="宋体"/>
                <w:color w:val="000000" w:themeColor="text1"/>
                <w:sz w:val="18"/>
                <w:szCs w:val="18"/>
              </w:rPr>
            </w:pPr>
            <w:r>
              <w:rPr>
                <w:rFonts w:hint="eastAsia"/>
                <w:color w:val="000000" w:themeColor="text1"/>
                <w:sz w:val="18"/>
                <w:szCs w:val="18"/>
              </w:rPr>
              <w:t>138.19</w:t>
            </w:r>
          </w:p>
        </w:tc>
        <w:tc>
          <w:tcPr>
            <w:tcW w:w="952" w:type="dxa"/>
            <w:tcBorders>
              <w:top w:val="nil"/>
              <w:left w:val="nil"/>
              <w:bottom w:val="single" w:color="auto" w:sz="4" w:space="0"/>
              <w:right w:val="single" w:color="auto" w:sz="4" w:space="0"/>
            </w:tcBorders>
            <w:shd w:val="clear" w:color="auto" w:fill="auto"/>
            <w:noWrap/>
            <w:vAlign w:val="center"/>
          </w:tcPr>
          <w:p>
            <w:pPr>
              <w:jc w:val="center"/>
              <w:rPr>
                <w:rFonts w:cs="宋体"/>
                <w:color w:val="000000" w:themeColor="text1"/>
                <w:sz w:val="18"/>
                <w:szCs w:val="18"/>
              </w:rPr>
            </w:pPr>
            <w:r>
              <w:rPr>
                <w:rFonts w:hint="eastAsia"/>
                <w:color w:val="000000" w:themeColor="text1"/>
                <w:sz w:val="18"/>
                <w:szCs w:val="18"/>
              </w:rPr>
              <w:t>144.84</w:t>
            </w:r>
          </w:p>
        </w:tc>
        <w:tc>
          <w:tcPr>
            <w:tcW w:w="1006"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29.06</w:t>
            </w:r>
          </w:p>
        </w:tc>
        <w:tc>
          <w:tcPr>
            <w:tcW w:w="97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28.79</w:t>
            </w:r>
          </w:p>
        </w:tc>
        <w:tc>
          <w:tcPr>
            <w:tcW w:w="850" w:type="dxa"/>
            <w:tcBorders>
              <w:top w:val="nil"/>
              <w:left w:val="nil"/>
              <w:bottom w:val="single" w:color="auto" w:sz="4" w:space="0"/>
              <w:right w:val="single" w:color="auto" w:sz="4" w:space="0"/>
            </w:tcBorders>
            <w:shd w:val="clear" w:color="auto" w:fill="auto"/>
            <w:noWrap/>
            <w:vAlign w:val="center"/>
          </w:tcPr>
          <w:p>
            <w:pPr>
              <w:widowControl/>
              <w:jc w:val="center"/>
              <w:rPr>
                <w:rFonts w:hint="default" w:eastAsia="宋体" w:cs="宋体"/>
                <w:color w:val="auto"/>
                <w:kern w:val="0"/>
                <w:sz w:val="18"/>
                <w:szCs w:val="18"/>
                <w:lang w:val="en-US" w:eastAsia="zh-CN"/>
              </w:rPr>
            </w:pPr>
            <w:r>
              <w:rPr>
                <w:rFonts w:hint="eastAsia" w:cs="宋体"/>
                <w:color w:val="auto"/>
                <w:kern w:val="0"/>
                <w:sz w:val="18"/>
                <w:szCs w:val="18"/>
                <w:lang w:val="en-US" w:eastAsia="zh-CN"/>
              </w:rPr>
              <w:t>0.542</w:t>
            </w:r>
          </w:p>
        </w:tc>
      </w:tr>
      <w:tr>
        <w:tblPrEx>
          <w:tblCellMar>
            <w:top w:w="0" w:type="dxa"/>
            <w:left w:w="108" w:type="dxa"/>
            <w:bottom w:w="0" w:type="dxa"/>
            <w:right w:w="108" w:type="dxa"/>
          </w:tblCellMar>
        </w:tblPrEx>
        <w:trPr>
          <w:trHeight w:val="270" w:hRule="atLeast"/>
        </w:trPr>
        <w:tc>
          <w:tcPr>
            <w:tcW w:w="809"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凤凰县</w:t>
            </w:r>
          </w:p>
        </w:tc>
        <w:tc>
          <w:tcPr>
            <w:tcW w:w="897"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377.65</w:t>
            </w:r>
          </w:p>
        </w:tc>
        <w:tc>
          <w:tcPr>
            <w:tcW w:w="993"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138.55</w:t>
            </w:r>
          </w:p>
        </w:tc>
        <w:tc>
          <w:tcPr>
            <w:tcW w:w="992" w:type="dxa"/>
            <w:tcBorders>
              <w:top w:val="nil"/>
              <w:left w:val="nil"/>
              <w:bottom w:val="single" w:color="auto" w:sz="4" w:space="0"/>
              <w:right w:val="single" w:color="auto" w:sz="4" w:space="0"/>
            </w:tcBorders>
            <w:shd w:val="clear" w:color="auto" w:fill="auto"/>
            <w:noWrap/>
            <w:vAlign w:val="center"/>
          </w:tcPr>
          <w:p>
            <w:pPr>
              <w:jc w:val="center"/>
              <w:rPr>
                <w:rFonts w:cs="宋体"/>
                <w:color w:val="000000" w:themeColor="text1"/>
                <w:sz w:val="18"/>
                <w:szCs w:val="18"/>
              </w:rPr>
            </w:pPr>
            <w:r>
              <w:rPr>
                <w:rFonts w:hint="eastAsia"/>
                <w:color w:val="000000" w:themeColor="text1"/>
                <w:sz w:val="18"/>
                <w:szCs w:val="18"/>
              </w:rPr>
              <w:t>126.22</w:t>
            </w:r>
          </w:p>
        </w:tc>
        <w:tc>
          <w:tcPr>
            <w:tcW w:w="1032" w:type="dxa"/>
            <w:tcBorders>
              <w:top w:val="nil"/>
              <w:left w:val="nil"/>
              <w:bottom w:val="single" w:color="auto" w:sz="4" w:space="0"/>
              <w:right w:val="single" w:color="auto" w:sz="4" w:space="0"/>
            </w:tcBorders>
            <w:shd w:val="clear" w:color="auto" w:fill="auto"/>
            <w:noWrap/>
            <w:vAlign w:val="center"/>
          </w:tcPr>
          <w:p>
            <w:pPr>
              <w:jc w:val="center"/>
              <w:rPr>
                <w:rFonts w:hint="default" w:eastAsia="宋体" w:cs="宋体"/>
                <w:color w:val="000000" w:themeColor="text1"/>
                <w:sz w:val="18"/>
                <w:szCs w:val="18"/>
                <w:lang w:val="en-US" w:eastAsia="zh-CN"/>
              </w:rPr>
            </w:pPr>
            <w:r>
              <w:rPr>
                <w:rFonts w:hint="eastAsia"/>
                <w:color w:val="000000" w:themeColor="text1"/>
                <w:sz w:val="18"/>
                <w:szCs w:val="18"/>
                <w:lang w:val="en-US" w:eastAsia="zh-CN"/>
              </w:rPr>
              <w:t>122.12</w:t>
            </w:r>
          </w:p>
        </w:tc>
        <w:tc>
          <w:tcPr>
            <w:tcW w:w="952" w:type="dxa"/>
            <w:tcBorders>
              <w:top w:val="nil"/>
              <w:left w:val="nil"/>
              <w:bottom w:val="single" w:color="auto" w:sz="4" w:space="0"/>
              <w:right w:val="single" w:color="auto" w:sz="4" w:space="0"/>
            </w:tcBorders>
            <w:shd w:val="clear" w:color="auto" w:fill="auto"/>
            <w:noWrap/>
            <w:vAlign w:val="center"/>
          </w:tcPr>
          <w:p>
            <w:pPr>
              <w:jc w:val="center"/>
              <w:rPr>
                <w:rFonts w:hint="default" w:eastAsia="宋体" w:cs="宋体"/>
                <w:color w:val="000000" w:themeColor="text1"/>
                <w:sz w:val="18"/>
                <w:szCs w:val="18"/>
                <w:lang w:val="en-US" w:eastAsia="zh-CN"/>
              </w:rPr>
            </w:pPr>
            <w:r>
              <w:rPr>
                <w:rFonts w:hint="eastAsia" w:cs="宋体"/>
                <w:color w:val="000000" w:themeColor="text1"/>
                <w:sz w:val="18"/>
                <w:szCs w:val="18"/>
                <w:lang w:val="en-US" w:eastAsia="zh-CN"/>
              </w:rPr>
              <w:t>127.99</w:t>
            </w:r>
          </w:p>
        </w:tc>
        <w:tc>
          <w:tcPr>
            <w:tcW w:w="1006"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25.56</w:t>
            </w:r>
          </w:p>
        </w:tc>
        <w:tc>
          <w:tcPr>
            <w:tcW w:w="97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25.32</w:t>
            </w:r>
          </w:p>
        </w:tc>
        <w:tc>
          <w:tcPr>
            <w:tcW w:w="850" w:type="dxa"/>
            <w:tcBorders>
              <w:top w:val="nil"/>
              <w:left w:val="nil"/>
              <w:bottom w:val="single" w:color="auto" w:sz="4" w:space="0"/>
              <w:right w:val="single" w:color="auto" w:sz="4" w:space="0"/>
            </w:tcBorders>
            <w:shd w:val="clear" w:color="auto" w:fill="auto"/>
            <w:noWrap/>
            <w:vAlign w:val="center"/>
          </w:tcPr>
          <w:p>
            <w:pPr>
              <w:widowControl/>
              <w:jc w:val="center"/>
              <w:rPr>
                <w:rFonts w:hint="default" w:eastAsia="宋体" w:cs="宋体"/>
                <w:color w:val="auto"/>
                <w:kern w:val="0"/>
                <w:sz w:val="18"/>
                <w:szCs w:val="18"/>
                <w:lang w:val="en-US" w:eastAsia="zh-CN"/>
              </w:rPr>
            </w:pPr>
            <w:r>
              <w:rPr>
                <w:rFonts w:hint="eastAsia" w:cs="宋体"/>
                <w:color w:val="auto"/>
                <w:kern w:val="0"/>
                <w:sz w:val="18"/>
                <w:szCs w:val="18"/>
                <w:lang w:val="en-US" w:eastAsia="zh-CN"/>
              </w:rPr>
              <w:t>0.543</w:t>
            </w:r>
          </w:p>
        </w:tc>
      </w:tr>
      <w:tr>
        <w:tblPrEx>
          <w:tblCellMar>
            <w:top w:w="0" w:type="dxa"/>
            <w:left w:w="108" w:type="dxa"/>
            <w:bottom w:w="0" w:type="dxa"/>
            <w:right w:w="108" w:type="dxa"/>
          </w:tblCellMar>
        </w:tblPrEx>
        <w:trPr>
          <w:trHeight w:val="270" w:hRule="atLeast"/>
        </w:trPr>
        <w:tc>
          <w:tcPr>
            <w:tcW w:w="809"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花垣县</w:t>
            </w:r>
          </w:p>
        </w:tc>
        <w:tc>
          <w:tcPr>
            <w:tcW w:w="897"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371.00</w:t>
            </w:r>
          </w:p>
        </w:tc>
        <w:tc>
          <w:tcPr>
            <w:tcW w:w="993"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136.79</w:t>
            </w:r>
          </w:p>
        </w:tc>
        <w:tc>
          <w:tcPr>
            <w:tcW w:w="992" w:type="dxa"/>
            <w:tcBorders>
              <w:top w:val="nil"/>
              <w:left w:val="nil"/>
              <w:bottom w:val="single" w:color="auto" w:sz="4" w:space="0"/>
              <w:right w:val="single" w:color="auto" w:sz="4" w:space="0"/>
            </w:tcBorders>
            <w:shd w:val="clear" w:color="auto" w:fill="auto"/>
            <w:noWrap/>
            <w:vAlign w:val="center"/>
          </w:tcPr>
          <w:p>
            <w:pPr>
              <w:jc w:val="center"/>
              <w:rPr>
                <w:rFonts w:cs="宋体"/>
                <w:color w:val="000000" w:themeColor="text1"/>
                <w:sz w:val="18"/>
                <w:szCs w:val="18"/>
              </w:rPr>
            </w:pPr>
            <w:r>
              <w:rPr>
                <w:rFonts w:hint="eastAsia"/>
                <w:color w:val="000000" w:themeColor="text1"/>
                <w:sz w:val="18"/>
                <w:szCs w:val="18"/>
              </w:rPr>
              <w:t>124.83</w:t>
            </w:r>
          </w:p>
        </w:tc>
        <w:tc>
          <w:tcPr>
            <w:tcW w:w="1032" w:type="dxa"/>
            <w:tcBorders>
              <w:top w:val="nil"/>
              <w:left w:val="nil"/>
              <w:bottom w:val="single" w:color="auto" w:sz="4" w:space="0"/>
              <w:right w:val="single" w:color="auto" w:sz="4" w:space="0"/>
            </w:tcBorders>
            <w:shd w:val="clear" w:color="auto" w:fill="auto"/>
            <w:noWrap/>
            <w:vAlign w:val="center"/>
          </w:tcPr>
          <w:p>
            <w:pPr>
              <w:jc w:val="center"/>
              <w:rPr>
                <w:rFonts w:cs="宋体"/>
                <w:color w:val="000000" w:themeColor="text1"/>
                <w:sz w:val="18"/>
                <w:szCs w:val="18"/>
              </w:rPr>
            </w:pPr>
            <w:r>
              <w:rPr>
                <w:rFonts w:hint="eastAsia"/>
                <w:color w:val="000000" w:themeColor="text1"/>
                <w:sz w:val="18"/>
                <w:szCs w:val="18"/>
              </w:rPr>
              <w:t>139.97</w:t>
            </w:r>
          </w:p>
        </w:tc>
        <w:tc>
          <w:tcPr>
            <w:tcW w:w="952" w:type="dxa"/>
            <w:tcBorders>
              <w:top w:val="nil"/>
              <w:left w:val="nil"/>
              <w:bottom w:val="single" w:color="auto" w:sz="4" w:space="0"/>
              <w:right w:val="single" w:color="auto" w:sz="4" w:space="0"/>
            </w:tcBorders>
            <w:shd w:val="clear" w:color="auto" w:fill="auto"/>
            <w:noWrap/>
            <w:vAlign w:val="center"/>
          </w:tcPr>
          <w:p>
            <w:pPr>
              <w:jc w:val="center"/>
              <w:rPr>
                <w:rFonts w:cs="宋体"/>
                <w:color w:val="000000" w:themeColor="text1"/>
                <w:sz w:val="18"/>
                <w:szCs w:val="18"/>
              </w:rPr>
            </w:pPr>
            <w:r>
              <w:rPr>
                <w:rFonts w:hint="eastAsia"/>
                <w:color w:val="000000" w:themeColor="text1"/>
                <w:sz w:val="18"/>
                <w:szCs w:val="18"/>
              </w:rPr>
              <w:t>146.70</w:t>
            </w:r>
          </w:p>
        </w:tc>
        <w:tc>
          <w:tcPr>
            <w:tcW w:w="1006"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28.20</w:t>
            </w:r>
          </w:p>
        </w:tc>
        <w:tc>
          <w:tcPr>
            <w:tcW w:w="97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27.93</w:t>
            </w:r>
          </w:p>
        </w:tc>
        <w:tc>
          <w:tcPr>
            <w:tcW w:w="850" w:type="dxa"/>
            <w:tcBorders>
              <w:top w:val="nil"/>
              <w:left w:val="nil"/>
              <w:bottom w:val="single" w:color="auto" w:sz="4" w:space="0"/>
              <w:right w:val="single" w:color="auto" w:sz="4" w:space="0"/>
            </w:tcBorders>
            <w:shd w:val="clear" w:color="auto" w:fill="auto"/>
            <w:noWrap/>
            <w:vAlign w:val="center"/>
          </w:tcPr>
          <w:p>
            <w:pPr>
              <w:widowControl/>
              <w:jc w:val="center"/>
              <w:rPr>
                <w:rFonts w:hint="default" w:eastAsia="宋体" w:cs="宋体"/>
                <w:color w:val="auto"/>
                <w:kern w:val="0"/>
                <w:sz w:val="18"/>
                <w:szCs w:val="18"/>
                <w:lang w:val="en-US" w:eastAsia="zh-CN"/>
              </w:rPr>
            </w:pPr>
            <w:r>
              <w:rPr>
                <w:rFonts w:hint="eastAsia" w:cs="宋体"/>
                <w:color w:val="auto"/>
                <w:kern w:val="0"/>
                <w:sz w:val="18"/>
                <w:szCs w:val="18"/>
                <w:lang w:val="en-US" w:eastAsia="zh-CN"/>
              </w:rPr>
              <w:t>0.526</w:t>
            </w:r>
          </w:p>
        </w:tc>
      </w:tr>
      <w:tr>
        <w:tblPrEx>
          <w:tblCellMar>
            <w:top w:w="0" w:type="dxa"/>
            <w:left w:w="108" w:type="dxa"/>
            <w:bottom w:w="0" w:type="dxa"/>
            <w:right w:w="108" w:type="dxa"/>
          </w:tblCellMar>
        </w:tblPrEx>
        <w:trPr>
          <w:trHeight w:val="270" w:hRule="atLeast"/>
        </w:trPr>
        <w:tc>
          <w:tcPr>
            <w:tcW w:w="809"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保靖县</w:t>
            </w:r>
          </w:p>
        </w:tc>
        <w:tc>
          <w:tcPr>
            <w:tcW w:w="897"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331.03</w:t>
            </w:r>
          </w:p>
        </w:tc>
        <w:tc>
          <w:tcPr>
            <w:tcW w:w="993"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134.72</w:t>
            </w:r>
          </w:p>
        </w:tc>
        <w:tc>
          <w:tcPr>
            <w:tcW w:w="992" w:type="dxa"/>
            <w:tcBorders>
              <w:top w:val="nil"/>
              <w:left w:val="nil"/>
              <w:bottom w:val="single" w:color="auto" w:sz="4" w:space="0"/>
              <w:right w:val="single" w:color="auto" w:sz="4" w:space="0"/>
            </w:tcBorders>
            <w:shd w:val="clear" w:color="auto" w:fill="auto"/>
            <w:noWrap/>
            <w:vAlign w:val="center"/>
          </w:tcPr>
          <w:p>
            <w:pPr>
              <w:jc w:val="center"/>
              <w:rPr>
                <w:rFonts w:cs="宋体"/>
                <w:color w:val="000000" w:themeColor="text1"/>
                <w:sz w:val="18"/>
                <w:szCs w:val="18"/>
              </w:rPr>
            </w:pPr>
            <w:r>
              <w:rPr>
                <w:rFonts w:hint="eastAsia"/>
                <w:color w:val="000000" w:themeColor="text1"/>
                <w:sz w:val="18"/>
                <w:szCs w:val="18"/>
              </w:rPr>
              <w:t>124.75</w:t>
            </w:r>
          </w:p>
        </w:tc>
        <w:tc>
          <w:tcPr>
            <w:tcW w:w="1032" w:type="dxa"/>
            <w:tcBorders>
              <w:top w:val="nil"/>
              <w:left w:val="nil"/>
              <w:bottom w:val="single" w:color="auto" w:sz="4" w:space="0"/>
              <w:right w:val="single" w:color="auto" w:sz="4" w:space="0"/>
            </w:tcBorders>
            <w:shd w:val="clear" w:color="auto" w:fill="auto"/>
            <w:noWrap/>
            <w:vAlign w:val="center"/>
          </w:tcPr>
          <w:p>
            <w:pPr>
              <w:jc w:val="center"/>
              <w:rPr>
                <w:rFonts w:cs="宋体"/>
                <w:color w:val="000000" w:themeColor="text1"/>
                <w:sz w:val="18"/>
                <w:szCs w:val="18"/>
              </w:rPr>
            </w:pPr>
            <w:r>
              <w:rPr>
                <w:rFonts w:hint="eastAsia"/>
                <w:color w:val="000000" w:themeColor="text1"/>
                <w:sz w:val="18"/>
                <w:szCs w:val="18"/>
              </w:rPr>
              <w:t>131.37</w:t>
            </w:r>
          </w:p>
        </w:tc>
        <w:tc>
          <w:tcPr>
            <w:tcW w:w="952" w:type="dxa"/>
            <w:tcBorders>
              <w:top w:val="nil"/>
              <w:left w:val="nil"/>
              <w:bottom w:val="single" w:color="auto" w:sz="4" w:space="0"/>
              <w:right w:val="single" w:color="auto" w:sz="4" w:space="0"/>
            </w:tcBorders>
            <w:shd w:val="clear" w:color="auto" w:fill="auto"/>
            <w:noWrap/>
            <w:vAlign w:val="center"/>
          </w:tcPr>
          <w:p>
            <w:pPr>
              <w:jc w:val="center"/>
              <w:rPr>
                <w:rFonts w:cs="宋体"/>
                <w:color w:val="000000" w:themeColor="text1"/>
                <w:sz w:val="18"/>
                <w:szCs w:val="18"/>
              </w:rPr>
            </w:pPr>
            <w:r>
              <w:rPr>
                <w:rFonts w:hint="eastAsia"/>
                <w:color w:val="000000" w:themeColor="text1"/>
                <w:sz w:val="18"/>
                <w:szCs w:val="18"/>
              </w:rPr>
              <w:t>137.69</w:t>
            </w:r>
          </w:p>
        </w:tc>
        <w:tc>
          <w:tcPr>
            <w:tcW w:w="1006"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29.24</w:t>
            </w:r>
          </w:p>
        </w:tc>
        <w:tc>
          <w:tcPr>
            <w:tcW w:w="97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28.96</w:t>
            </w:r>
          </w:p>
        </w:tc>
        <w:tc>
          <w:tcPr>
            <w:tcW w:w="850" w:type="dxa"/>
            <w:tcBorders>
              <w:top w:val="nil"/>
              <w:left w:val="nil"/>
              <w:bottom w:val="single" w:color="auto" w:sz="4" w:space="0"/>
              <w:right w:val="single" w:color="auto" w:sz="4" w:space="0"/>
            </w:tcBorders>
            <w:shd w:val="clear" w:color="auto" w:fill="auto"/>
            <w:noWrap/>
            <w:vAlign w:val="center"/>
          </w:tcPr>
          <w:p>
            <w:pPr>
              <w:widowControl/>
              <w:jc w:val="center"/>
              <w:rPr>
                <w:rFonts w:hint="default" w:eastAsia="宋体" w:cs="宋体"/>
                <w:color w:val="auto"/>
                <w:kern w:val="0"/>
                <w:sz w:val="18"/>
                <w:szCs w:val="18"/>
                <w:lang w:val="en-US" w:eastAsia="zh-CN"/>
              </w:rPr>
            </w:pPr>
            <w:r>
              <w:rPr>
                <w:rFonts w:hint="eastAsia" w:cs="宋体"/>
                <w:color w:val="auto"/>
                <w:kern w:val="0"/>
                <w:sz w:val="18"/>
                <w:szCs w:val="18"/>
                <w:lang w:val="en-US" w:eastAsia="zh-CN"/>
              </w:rPr>
              <w:t>0.543</w:t>
            </w:r>
          </w:p>
        </w:tc>
      </w:tr>
      <w:tr>
        <w:tblPrEx>
          <w:tblCellMar>
            <w:top w:w="0" w:type="dxa"/>
            <w:left w:w="108" w:type="dxa"/>
            <w:bottom w:w="0" w:type="dxa"/>
            <w:right w:w="108" w:type="dxa"/>
          </w:tblCellMar>
        </w:tblPrEx>
        <w:trPr>
          <w:trHeight w:val="270" w:hRule="atLeast"/>
        </w:trPr>
        <w:tc>
          <w:tcPr>
            <w:tcW w:w="809"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古丈县</w:t>
            </w:r>
          </w:p>
        </w:tc>
        <w:tc>
          <w:tcPr>
            <w:tcW w:w="897"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338.90</w:t>
            </w:r>
          </w:p>
        </w:tc>
        <w:tc>
          <w:tcPr>
            <w:tcW w:w="993"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134.95</w:t>
            </w:r>
          </w:p>
        </w:tc>
        <w:tc>
          <w:tcPr>
            <w:tcW w:w="992" w:type="dxa"/>
            <w:tcBorders>
              <w:top w:val="nil"/>
              <w:left w:val="nil"/>
              <w:bottom w:val="single" w:color="auto" w:sz="4" w:space="0"/>
              <w:right w:val="single" w:color="auto" w:sz="4" w:space="0"/>
            </w:tcBorders>
            <w:shd w:val="clear" w:color="auto" w:fill="auto"/>
            <w:noWrap/>
            <w:vAlign w:val="center"/>
          </w:tcPr>
          <w:p>
            <w:pPr>
              <w:jc w:val="center"/>
              <w:rPr>
                <w:rFonts w:cs="宋体"/>
                <w:color w:val="000000" w:themeColor="text1"/>
                <w:sz w:val="18"/>
                <w:szCs w:val="18"/>
              </w:rPr>
            </w:pPr>
            <w:r>
              <w:rPr>
                <w:rFonts w:hint="eastAsia"/>
                <w:color w:val="000000" w:themeColor="text1"/>
                <w:sz w:val="18"/>
                <w:szCs w:val="18"/>
              </w:rPr>
              <w:t>123.14</w:t>
            </w:r>
          </w:p>
        </w:tc>
        <w:tc>
          <w:tcPr>
            <w:tcW w:w="1032" w:type="dxa"/>
            <w:tcBorders>
              <w:top w:val="nil"/>
              <w:left w:val="nil"/>
              <w:bottom w:val="single" w:color="auto" w:sz="4" w:space="0"/>
              <w:right w:val="single" w:color="auto" w:sz="4" w:space="0"/>
            </w:tcBorders>
            <w:shd w:val="clear" w:color="auto" w:fill="auto"/>
            <w:noWrap/>
            <w:vAlign w:val="center"/>
          </w:tcPr>
          <w:p>
            <w:pPr>
              <w:jc w:val="center"/>
              <w:rPr>
                <w:rFonts w:cs="宋体"/>
                <w:color w:val="000000" w:themeColor="text1"/>
                <w:sz w:val="18"/>
                <w:szCs w:val="18"/>
              </w:rPr>
            </w:pPr>
            <w:r>
              <w:rPr>
                <w:rFonts w:hint="eastAsia"/>
                <w:color w:val="000000" w:themeColor="text1"/>
                <w:sz w:val="18"/>
                <w:szCs w:val="18"/>
              </w:rPr>
              <w:t>144.03</w:t>
            </w:r>
          </w:p>
        </w:tc>
        <w:tc>
          <w:tcPr>
            <w:tcW w:w="952" w:type="dxa"/>
            <w:tcBorders>
              <w:top w:val="nil"/>
              <w:left w:val="nil"/>
              <w:bottom w:val="single" w:color="auto" w:sz="4" w:space="0"/>
              <w:right w:val="single" w:color="auto" w:sz="4" w:space="0"/>
            </w:tcBorders>
            <w:shd w:val="clear" w:color="auto" w:fill="auto"/>
            <w:noWrap/>
            <w:vAlign w:val="center"/>
          </w:tcPr>
          <w:p>
            <w:pPr>
              <w:jc w:val="center"/>
              <w:rPr>
                <w:rFonts w:cs="宋体"/>
                <w:color w:val="000000" w:themeColor="text1"/>
                <w:sz w:val="18"/>
                <w:szCs w:val="18"/>
              </w:rPr>
            </w:pPr>
            <w:r>
              <w:rPr>
                <w:rFonts w:hint="eastAsia"/>
                <w:color w:val="000000" w:themeColor="text1"/>
                <w:sz w:val="18"/>
                <w:szCs w:val="18"/>
              </w:rPr>
              <w:t>150.96</w:t>
            </w:r>
          </w:p>
        </w:tc>
        <w:tc>
          <w:tcPr>
            <w:tcW w:w="1006"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32.52</w:t>
            </w:r>
          </w:p>
        </w:tc>
        <w:tc>
          <w:tcPr>
            <w:tcW w:w="97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32.21</w:t>
            </w:r>
          </w:p>
        </w:tc>
        <w:tc>
          <w:tcPr>
            <w:tcW w:w="850" w:type="dxa"/>
            <w:tcBorders>
              <w:top w:val="nil"/>
              <w:left w:val="nil"/>
              <w:bottom w:val="single" w:color="auto" w:sz="4" w:space="0"/>
              <w:right w:val="single" w:color="auto" w:sz="4" w:space="0"/>
            </w:tcBorders>
            <w:shd w:val="clear" w:color="auto" w:fill="auto"/>
            <w:noWrap/>
            <w:vAlign w:val="center"/>
          </w:tcPr>
          <w:p>
            <w:pPr>
              <w:widowControl/>
              <w:jc w:val="center"/>
              <w:rPr>
                <w:rFonts w:hint="default" w:eastAsia="宋体" w:cs="宋体"/>
                <w:color w:val="auto"/>
                <w:kern w:val="0"/>
                <w:sz w:val="18"/>
                <w:szCs w:val="18"/>
                <w:lang w:val="en-US" w:eastAsia="zh-CN"/>
              </w:rPr>
            </w:pPr>
            <w:r>
              <w:rPr>
                <w:rFonts w:hint="eastAsia" w:cs="宋体"/>
                <w:color w:val="auto"/>
                <w:kern w:val="0"/>
                <w:sz w:val="18"/>
                <w:szCs w:val="18"/>
                <w:lang w:val="en-US" w:eastAsia="zh-CN"/>
              </w:rPr>
              <w:t>0.522</w:t>
            </w:r>
          </w:p>
        </w:tc>
      </w:tr>
      <w:tr>
        <w:tblPrEx>
          <w:tblCellMar>
            <w:top w:w="0" w:type="dxa"/>
            <w:left w:w="108" w:type="dxa"/>
            <w:bottom w:w="0" w:type="dxa"/>
            <w:right w:w="108" w:type="dxa"/>
          </w:tblCellMar>
        </w:tblPrEx>
        <w:trPr>
          <w:trHeight w:val="270" w:hRule="atLeast"/>
        </w:trPr>
        <w:tc>
          <w:tcPr>
            <w:tcW w:w="809"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永顺县</w:t>
            </w:r>
          </w:p>
        </w:tc>
        <w:tc>
          <w:tcPr>
            <w:tcW w:w="897"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388.18</w:t>
            </w:r>
          </w:p>
        </w:tc>
        <w:tc>
          <w:tcPr>
            <w:tcW w:w="993"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167.05</w:t>
            </w:r>
          </w:p>
        </w:tc>
        <w:tc>
          <w:tcPr>
            <w:tcW w:w="992" w:type="dxa"/>
            <w:tcBorders>
              <w:top w:val="nil"/>
              <w:left w:val="nil"/>
              <w:bottom w:val="single" w:color="auto" w:sz="4" w:space="0"/>
              <w:right w:val="single" w:color="auto" w:sz="4" w:space="0"/>
            </w:tcBorders>
            <w:shd w:val="clear" w:color="auto" w:fill="auto"/>
            <w:noWrap/>
            <w:vAlign w:val="center"/>
          </w:tcPr>
          <w:p>
            <w:pPr>
              <w:jc w:val="center"/>
              <w:rPr>
                <w:rFonts w:cs="宋体"/>
                <w:color w:val="000000" w:themeColor="text1"/>
                <w:sz w:val="18"/>
                <w:szCs w:val="18"/>
              </w:rPr>
            </w:pPr>
            <w:r>
              <w:rPr>
                <w:rFonts w:hint="eastAsia"/>
                <w:color w:val="000000" w:themeColor="text1"/>
                <w:sz w:val="18"/>
                <w:szCs w:val="18"/>
              </w:rPr>
              <w:t>147.73</w:t>
            </w:r>
          </w:p>
        </w:tc>
        <w:tc>
          <w:tcPr>
            <w:tcW w:w="1032" w:type="dxa"/>
            <w:tcBorders>
              <w:top w:val="nil"/>
              <w:left w:val="nil"/>
              <w:bottom w:val="single" w:color="auto" w:sz="4" w:space="0"/>
              <w:right w:val="single" w:color="auto" w:sz="4" w:space="0"/>
            </w:tcBorders>
            <w:shd w:val="clear" w:color="auto" w:fill="auto"/>
            <w:noWrap/>
            <w:vAlign w:val="center"/>
          </w:tcPr>
          <w:p>
            <w:pPr>
              <w:jc w:val="center"/>
              <w:rPr>
                <w:rFonts w:hint="default" w:eastAsia="宋体" w:cs="宋体"/>
                <w:color w:val="000000" w:themeColor="text1"/>
                <w:sz w:val="18"/>
                <w:szCs w:val="18"/>
                <w:lang w:val="en-US" w:eastAsia="zh-CN"/>
              </w:rPr>
            </w:pPr>
            <w:r>
              <w:rPr>
                <w:rFonts w:hint="eastAsia"/>
                <w:color w:val="000000" w:themeColor="text1"/>
                <w:sz w:val="18"/>
                <w:szCs w:val="18"/>
                <w:lang w:val="en-US" w:eastAsia="zh-CN"/>
              </w:rPr>
              <w:t>185.86</w:t>
            </w:r>
          </w:p>
        </w:tc>
        <w:tc>
          <w:tcPr>
            <w:tcW w:w="952" w:type="dxa"/>
            <w:tcBorders>
              <w:top w:val="nil"/>
              <w:left w:val="nil"/>
              <w:bottom w:val="single" w:color="auto" w:sz="4" w:space="0"/>
              <w:right w:val="single" w:color="auto" w:sz="4" w:space="0"/>
            </w:tcBorders>
            <w:shd w:val="clear" w:color="auto" w:fill="auto"/>
            <w:noWrap/>
            <w:vAlign w:val="center"/>
          </w:tcPr>
          <w:p>
            <w:pPr>
              <w:jc w:val="center"/>
              <w:rPr>
                <w:rFonts w:hint="default" w:eastAsia="宋体" w:cs="宋体"/>
                <w:color w:val="000000" w:themeColor="text1"/>
                <w:sz w:val="18"/>
                <w:szCs w:val="18"/>
                <w:lang w:val="en-US" w:eastAsia="zh-CN"/>
              </w:rPr>
            </w:pPr>
            <w:r>
              <w:rPr>
                <w:rFonts w:hint="eastAsia"/>
                <w:color w:val="auto"/>
                <w:sz w:val="18"/>
                <w:szCs w:val="18"/>
                <w:lang w:val="en-US" w:eastAsia="zh-CN"/>
              </w:rPr>
              <w:t>194.80</w:t>
            </w:r>
          </w:p>
        </w:tc>
        <w:tc>
          <w:tcPr>
            <w:tcW w:w="1006"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34.72</w:t>
            </w:r>
          </w:p>
        </w:tc>
        <w:tc>
          <w:tcPr>
            <w:tcW w:w="97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34.39</w:t>
            </w:r>
          </w:p>
        </w:tc>
        <w:tc>
          <w:tcPr>
            <w:tcW w:w="850" w:type="dxa"/>
            <w:tcBorders>
              <w:top w:val="nil"/>
              <w:left w:val="nil"/>
              <w:bottom w:val="single" w:color="auto" w:sz="4" w:space="0"/>
              <w:right w:val="single" w:color="auto" w:sz="4" w:space="0"/>
            </w:tcBorders>
            <w:shd w:val="clear" w:color="auto" w:fill="auto"/>
            <w:noWrap/>
            <w:vAlign w:val="center"/>
          </w:tcPr>
          <w:p>
            <w:pPr>
              <w:widowControl/>
              <w:jc w:val="center"/>
              <w:rPr>
                <w:rFonts w:hint="eastAsia" w:eastAsia="宋体" w:cs="宋体"/>
                <w:color w:val="auto"/>
                <w:kern w:val="0"/>
                <w:sz w:val="18"/>
                <w:szCs w:val="18"/>
                <w:lang w:eastAsia="zh-CN"/>
              </w:rPr>
            </w:pPr>
            <w:r>
              <w:rPr>
                <w:rFonts w:hint="eastAsia" w:cs="宋体"/>
                <w:color w:val="auto"/>
                <w:kern w:val="0"/>
                <w:sz w:val="18"/>
                <w:szCs w:val="18"/>
              </w:rPr>
              <w:t>0.54</w:t>
            </w:r>
            <w:r>
              <w:rPr>
                <w:rFonts w:hint="eastAsia" w:cs="宋体"/>
                <w:color w:val="auto"/>
                <w:kern w:val="0"/>
                <w:sz w:val="18"/>
                <w:szCs w:val="18"/>
                <w:lang w:val="en-US" w:eastAsia="zh-CN"/>
              </w:rPr>
              <w:t>3</w:t>
            </w:r>
          </w:p>
        </w:tc>
      </w:tr>
      <w:tr>
        <w:tblPrEx>
          <w:tblCellMar>
            <w:top w:w="0" w:type="dxa"/>
            <w:left w:w="108" w:type="dxa"/>
            <w:bottom w:w="0" w:type="dxa"/>
            <w:right w:w="108" w:type="dxa"/>
          </w:tblCellMar>
        </w:tblPrEx>
        <w:trPr>
          <w:trHeight w:val="270" w:hRule="atLeast"/>
        </w:trPr>
        <w:tc>
          <w:tcPr>
            <w:tcW w:w="809"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龙山县</w:t>
            </w:r>
          </w:p>
        </w:tc>
        <w:tc>
          <w:tcPr>
            <w:tcW w:w="897"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235.20</w:t>
            </w:r>
          </w:p>
        </w:tc>
        <w:tc>
          <w:tcPr>
            <w:tcW w:w="993"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137.11</w:t>
            </w:r>
          </w:p>
        </w:tc>
        <w:tc>
          <w:tcPr>
            <w:tcW w:w="992" w:type="dxa"/>
            <w:tcBorders>
              <w:top w:val="nil"/>
              <w:left w:val="nil"/>
              <w:bottom w:val="single" w:color="auto" w:sz="4" w:space="0"/>
              <w:right w:val="single" w:color="auto" w:sz="4" w:space="0"/>
            </w:tcBorders>
            <w:shd w:val="clear" w:color="auto" w:fill="auto"/>
            <w:noWrap/>
            <w:vAlign w:val="center"/>
          </w:tcPr>
          <w:p>
            <w:pPr>
              <w:jc w:val="center"/>
              <w:rPr>
                <w:rFonts w:cs="宋体"/>
                <w:color w:val="000000" w:themeColor="text1"/>
                <w:sz w:val="18"/>
                <w:szCs w:val="18"/>
              </w:rPr>
            </w:pPr>
            <w:r>
              <w:rPr>
                <w:rFonts w:hint="eastAsia"/>
                <w:color w:val="000000" w:themeColor="text1"/>
                <w:sz w:val="18"/>
                <w:szCs w:val="18"/>
              </w:rPr>
              <w:t>124.40</w:t>
            </w:r>
          </w:p>
        </w:tc>
        <w:tc>
          <w:tcPr>
            <w:tcW w:w="1032" w:type="dxa"/>
            <w:tcBorders>
              <w:top w:val="nil"/>
              <w:left w:val="nil"/>
              <w:bottom w:val="single" w:color="auto" w:sz="4" w:space="0"/>
              <w:right w:val="single" w:color="auto" w:sz="4" w:space="0"/>
            </w:tcBorders>
            <w:shd w:val="clear" w:color="auto" w:fill="auto"/>
            <w:noWrap/>
            <w:vAlign w:val="center"/>
          </w:tcPr>
          <w:p>
            <w:pPr>
              <w:jc w:val="center"/>
              <w:rPr>
                <w:rFonts w:cs="宋体"/>
                <w:color w:val="000000" w:themeColor="text1"/>
                <w:sz w:val="18"/>
                <w:szCs w:val="18"/>
              </w:rPr>
            </w:pPr>
            <w:r>
              <w:rPr>
                <w:rFonts w:hint="eastAsia"/>
                <w:color w:val="000000" w:themeColor="text1"/>
                <w:sz w:val="18"/>
                <w:szCs w:val="18"/>
              </w:rPr>
              <w:t>114.92</w:t>
            </w:r>
          </w:p>
        </w:tc>
        <w:tc>
          <w:tcPr>
            <w:tcW w:w="952" w:type="dxa"/>
            <w:tcBorders>
              <w:top w:val="nil"/>
              <w:left w:val="nil"/>
              <w:bottom w:val="single" w:color="auto" w:sz="4" w:space="0"/>
              <w:right w:val="single" w:color="auto" w:sz="4" w:space="0"/>
            </w:tcBorders>
            <w:shd w:val="clear" w:color="auto" w:fill="auto"/>
            <w:noWrap/>
            <w:vAlign w:val="center"/>
          </w:tcPr>
          <w:p>
            <w:pPr>
              <w:jc w:val="center"/>
              <w:rPr>
                <w:rFonts w:cs="宋体"/>
                <w:color w:val="000000" w:themeColor="text1"/>
                <w:sz w:val="18"/>
                <w:szCs w:val="18"/>
              </w:rPr>
            </w:pPr>
            <w:r>
              <w:rPr>
                <w:rFonts w:hint="eastAsia"/>
                <w:color w:val="000000" w:themeColor="text1"/>
                <w:sz w:val="18"/>
                <w:szCs w:val="18"/>
              </w:rPr>
              <w:t>120.44</w:t>
            </w:r>
          </w:p>
        </w:tc>
        <w:tc>
          <w:tcPr>
            <w:tcW w:w="1006"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29.01</w:t>
            </w:r>
          </w:p>
        </w:tc>
        <w:tc>
          <w:tcPr>
            <w:tcW w:w="97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28.74</w:t>
            </w:r>
          </w:p>
        </w:tc>
        <w:tc>
          <w:tcPr>
            <w:tcW w:w="850" w:type="dxa"/>
            <w:tcBorders>
              <w:top w:val="nil"/>
              <w:left w:val="nil"/>
              <w:bottom w:val="single" w:color="auto" w:sz="4" w:space="0"/>
              <w:right w:val="single" w:color="auto" w:sz="4" w:space="0"/>
            </w:tcBorders>
            <w:shd w:val="clear" w:color="auto" w:fill="auto"/>
            <w:noWrap/>
            <w:vAlign w:val="center"/>
          </w:tcPr>
          <w:p>
            <w:pPr>
              <w:widowControl/>
              <w:jc w:val="center"/>
              <w:rPr>
                <w:rFonts w:hint="eastAsia" w:eastAsia="宋体" w:cs="宋体"/>
                <w:color w:val="auto"/>
                <w:kern w:val="0"/>
                <w:sz w:val="18"/>
                <w:szCs w:val="18"/>
                <w:lang w:eastAsia="zh-CN"/>
              </w:rPr>
            </w:pPr>
            <w:r>
              <w:rPr>
                <w:rFonts w:hint="eastAsia" w:cs="宋体"/>
                <w:color w:val="auto"/>
                <w:kern w:val="0"/>
                <w:sz w:val="18"/>
                <w:szCs w:val="18"/>
              </w:rPr>
              <w:t>0.53</w:t>
            </w:r>
            <w:r>
              <w:rPr>
                <w:rFonts w:hint="eastAsia" w:cs="宋体"/>
                <w:color w:val="auto"/>
                <w:kern w:val="0"/>
                <w:sz w:val="18"/>
                <w:szCs w:val="18"/>
                <w:lang w:val="en-US" w:eastAsia="zh-CN"/>
              </w:rPr>
              <w:t>4</w:t>
            </w:r>
          </w:p>
        </w:tc>
      </w:tr>
      <w:tr>
        <w:tblPrEx>
          <w:tblCellMar>
            <w:top w:w="0" w:type="dxa"/>
            <w:left w:w="108" w:type="dxa"/>
            <w:bottom w:w="0" w:type="dxa"/>
            <w:right w:w="108" w:type="dxa"/>
          </w:tblCellMar>
        </w:tblPrEx>
        <w:trPr>
          <w:trHeight w:val="270" w:hRule="atLeast"/>
        </w:trPr>
        <w:tc>
          <w:tcPr>
            <w:tcW w:w="809"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kern w:val="0"/>
                <w:sz w:val="18"/>
                <w:szCs w:val="18"/>
              </w:rPr>
            </w:pPr>
            <w:r>
              <w:rPr>
                <w:rFonts w:hint="eastAsia" w:cs="宋体"/>
                <w:kern w:val="0"/>
                <w:sz w:val="18"/>
                <w:szCs w:val="18"/>
              </w:rPr>
              <w:t>全州</w:t>
            </w:r>
          </w:p>
        </w:tc>
        <w:tc>
          <w:tcPr>
            <w:tcW w:w="897"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347.34</w:t>
            </w:r>
          </w:p>
        </w:tc>
        <w:tc>
          <w:tcPr>
            <w:tcW w:w="993"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141.20</w:t>
            </w:r>
          </w:p>
        </w:tc>
        <w:tc>
          <w:tcPr>
            <w:tcW w:w="992" w:type="dxa"/>
            <w:tcBorders>
              <w:top w:val="nil"/>
              <w:left w:val="nil"/>
              <w:bottom w:val="single" w:color="auto" w:sz="4" w:space="0"/>
              <w:right w:val="single" w:color="auto" w:sz="4" w:space="0"/>
            </w:tcBorders>
            <w:shd w:val="clear" w:color="auto" w:fill="auto"/>
            <w:noWrap/>
            <w:vAlign w:val="center"/>
          </w:tcPr>
          <w:p>
            <w:pPr>
              <w:widowControl/>
              <w:jc w:val="center"/>
              <w:rPr>
                <w:rFonts w:cs="宋体"/>
                <w:color w:val="000000" w:themeColor="text1"/>
                <w:kern w:val="0"/>
                <w:sz w:val="18"/>
                <w:szCs w:val="18"/>
              </w:rPr>
            </w:pPr>
            <w:r>
              <w:rPr>
                <w:rFonts w:hint="eastAsia" w:cs="宋体"/>
                <w:color w:val="000000" w:themeColor="text1"/>
                <w:kern w:val="0"/>
                <w:sz w:val="18"/>
                <w:szCs w:val="18"/>
              </w:rPr>
              <w:t>129.36</w:t>
            </w:r>
          </w:p>
        </w:tc>
        <w:tc>
          <w:tcPr>
            <w:tcW w:w="1032" w:type="dxa"/>
            <w:tcBorders>
              <w:top w:val="nil"/>
              <w:left w:val="nil"/>
              <w:bottom w:val="single" w:color="auto" w:sz="4" w:space="0"/>
              <w:right w:val="single" w:color="auto" w:sz="4" w:space="0"/>
            </w:tcBorders>
            <w:shd w:val="clear" w:color="auto" w:fill="auto"/>
            <w:noWrap/>
            <w:vAlign w:val="center"/>
          </w:tcPr>
          <w:p>
            <w:pPr>
              <w:widowControl/>
              <w:jc w:val="center"/>
              <w:rPr>
                <w:rFonts w:hint="default" w:eastAsia="宋体" w:cs="宋体"/>
                <w:color w:val="000000" w:themeColor="text1"/>
                <w:kern w:val="0"/>
                <w:sz w:val="18"/>
                <w:szCs w:val="18"/>
                <w:lang w:val="en-US" w:eastAsia="zh-CN"/>
              </w:rPr>
            </w:pPr>
            <w:r>
              <w:rPr>
                <w:rFonts w:hint="eastAsia" w:cs="宋体"/>
                <w:color w:val="000000" w:themeColor="text1"/>
                <w:kern w:val="0"/>
                <w:sz w:val="18"/>
                <w:szCs w:val="18"/>
                <w:lang w:val="en-US" w:eastAsia="zh-CN"/>
              </w:rPr>
              <w:t>114.78</w:t>
            </w:r>
          </w:p>
        </w:tc>
        <w:tc>
          <w:tcPr>
            <w:tcW w:w="952" w:type="dxa"/>
            <w:tcBorders>
              <w:top w:val="nil"/>
              <w:left w:val="nil"/>
              <w:bottom w:val="single" w:color="auto" w:sz="4" w:space="0"/>
              <w:right w:val="single" w:color="auto" w:sz="4" w:space="0"/>
            </w:tcBorders>
            <w:shd w:val="clear" w:color="auto" w:fill="auto"/>
            <w:noWrap/>
            <w:vAlign w:val="center"/>
          </w:tcPr>
          <w:p>
            <w:pPr>
              <w:widowControl/>
              <w:jc w:val="center"/>
              <w:rPr>
                <w:rFonts w:hint="default" w:eastAsia="宋体" w:cs="宋体"/>
                <w:color w:val="000000" w:themeColor="text1"/>
                <w:kern w:val="0"/>
                <w:sz w:val="18"/>
                <w:szCs w:val="18"/>
                <w:lang w:val="en-US" w:eastAsia="zh-CN"/>
              </w:rPr>
            </w:pPr>
            <w:r>
              <w:rPr>
                <w:rFonts w:hint="eastAsia" w:cs="宋体"/>
                <w:color w:val="000000" w:themeColor="text1"/>
                <w:kern w:val="0"/>
                <w:sz w:val="18"/>
                <w:szCs w:val="18"/>
                <w:lang w:val="en-US" w:eastAsia="zh-CN"/>
              </w:rPr>
              <w:t>120.99</w:t>
            </w:r>
          </w:p>
        </w:tc>
        <w:tc>
          <w:tcPr>
            <w:tcW w:w="1006"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28.72</w:t>
            </w:r>
          </w:p>
        </w:tc>
        <w:tc>
          <w:tcPr>
            <w:tcW w:w="979"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18"/>
                <w:szCs w:val="18"/>
              </w:rPr>
            </w:pPr>
            <w:r>
              <w:rPr>
                <w:rFonts w:hint="eastAsia" w:cs="宋体"/>
                <w:kern w:val="0"/>
                <w:sz w:val="18"/>
                <w:szCs w:val="18"/>
              </w:rPr>
              <w:t>28.45</w:t>
            </w:r>
          </w:p>
        </w:tc>
        <w:tc>
          <w:tcPr>
            <w:tcW w:w="850" w:type="dxa"/>
            <w:tcBorders>
              <w:top w:val="nil"/>
              <w:left w:val="nil"/>
              <w:bottom w:val="single" w:color="auto" w:sz="4" w:space="0"/>
              <w:right w:val="single" w:color="auto" w:sz="4" w:space="0"/>
            </w:tcBorders>
            <w:shd w:val="clear" w:color="auto" w:fill="auto"/>
            <w:noWrap/>
            <w:vAlign w:val="center"/>
          </w:tcPr>
          <w:p>
            <w:pPr>
              <w:widowControl/>
              <w:jc w:val="center"/>
              <w:rPr>
                <w:rFonts w:hint="default" w:eastAsia="宋体" w:cs="宋体"/>
                <w:kern w:val="0"/>
                <w:sz w:val="18"/>
                <w:szCs w:val="18"/>
                <w:lang w:val="en-US" w:eastAsia="zh-CN"/>
              </w:rPr>
            </w:pPr>
            <w:r>
              <w:rPr>
                <w:rFonts w:hint="eastAsia" w:cs="宋体"/>
                <w:kern w:val="0"/>
                <w:sz w:val="18"/>
                <w:szCs w:val="18"/>
                <w:lang w:val="en-US" w:eastAsia="zh-CN"/>
              </w:rPr>
              <w:t>0.536</w:t>
            </w:r>
          </w:p>
        </w:tc>
      </w:tr>
    </w:tbl>
    <w:p>
      <w:pPr>
        <w:ind w:hanging="142"/>
        <w:jc w:val="center"/>
        <w:rPr>
          <w:b/>
          <w:color w:val="000000" w:themeColor="text1"/>
          <w:sz w:val="28"/>
          <w:szCs w:val="28"/>
        </w:rPr>
      </w:pPr>
      <w:r>
        <w:rPr>
          <w:rFonts w:hint="eastAsia"/>
          <w:b/>
          <w:color w:val="000000" w:themeColor="text1"/>
          <w:sz w:val="28"/>
          <w:szCs w:val="28"/>
        </w:rPr>
        <w:t>△表12  2020年全州各行政分区主要用水指标</w:t>
      </w:r>
    </w:p>
    <w:p>
      <w:pPr>
        <w:rPr>
          <w:b/>
          <w:sz w:val="28"/>
          <w:szCs w:val="28"/>
        </w:rPr>
      </w:pPr>
      <w:r>
        <w:rPr>
          <w:rFonts w:hint="eastAsia"/>
          <w:b/>
          <w:sz w:val="28"/>
          <w:szCs w:val="28"/>
        </w:rPr>
        <w:t>（二）水资源开发利用程度</w:t>
      </w:r>
    </w:p>
    <w:p>
      <w:pPr>
        <w:widowControl/>
        <w:ind w:firstLine="560" w:firstLineChars="200"/>
        <w:jc w:val="left"/>
        <w:rPr>
          <w:color w:val="000000" w:themeColor="text1"/>
          <w:sz w:val="28"/>
          <w:szCs w:val="28"/>
        </w:rPr>
      </w:pPr>
      <w:r>
        <w:rPr>
          <w:rFonts w:hint="eastAsia"/>
          <w:color w:val="000000" w:themeColor="text1"/>
          <w:sz w:val="28"/>
          <w:szCs w:val="28"/>
        </w:rPr>
        <w:t>2020年，全州水资源总量226.81</w:t>
      </w:r>
      <w:r>
        <w:rPr>
          <w:color w:val="000000" w:themeColor="text1"/>
          <w:sz w:val="28"/>
          <w:szCs w:val="28"/>
        </w:rPr>
        <w:t>亿m</w:t>
      </w:r>
      <w:r>
        <w:rPr>
          <w:rFonts w:hint="eastAsia"/>
          <w:color w:val="000000" w:themeColor="text1"/>
          <w:sz w:val="28"/>
          <w:szCs w:val="28"/>
          <w:vertAlign w:val="superscript"/>
        </w:rPr>
        <w:t>3</w:t>
      </w:r>
      <w:r>
        <w:rPr>
          <w:color w:val="000000" w:themeColor="text1"/>
          <w:sz w:val="28"/>
          <w:szCs w:val="28"/>
        </w:rPr>
        <w:t>，较</w:t>
      </w:r>
      <w:r>
        <w:rPr>
          <w:rFonts w:hint="eastAsia"/>
          <w:color w:val="000000" w:themeColor="text1"/>
          <w:sz w:val="28"/>
          <w:szCs w:val="28"/>
        </w:rPr>
        <w:t>2019</w:t>
      </w:r>
      <w:r>
        <w:rPr>
          <w:color w:val="000000" w:themeColor="text1"/>
          <w:sz w:val="28"/>
          <w:szCs w:val="28"/>
        </w:rPr>
        <w:t>年偏多</w:t>
      </w:r>
      <w:r>
        <w:rPr>
          <w:rFonts w:hint="eastAsia"/>
          <w:color w:val="000000" w:themeColor="text1"/>
          <w:sz w:val="28"/>
          <w:szCs w:val="28"/>
        </w:rPr>
        <w:t>96.9</w:t>
      </w:r>
      <w:r>
        <w:rPr>
          <w:color w:val="000000" w:themeColor="text1"/>
          <w:sz w:val="28"/>
          <w:szCs w:val="28"/>
        </w:rPr>
        <w:t>%，较多年平均偏多</w:t>
      </w:r>
      <w:r>
        <w:rPr>
          <w:rFonts w:hint="eastAsia"/>
          <w:color w:val="000000" w:themeColor="text1"/>
          <w:sz w:val="28"/>
          <w:szCs w:val="28"/>
        </w:rPr>
        <w:t>81.4</w:t>
      </w:r>
      <w:r>
        <w:rPr>
          <w:color w:val="000000" w:themeColor="text1"/>
          <w:sz w:val="28"/>
          <w:szCs w:val="28"/>
        </w:rPr>
        <w:t>%。总用水量</w:t>
      </w:r>
      <w:r>
        <w:rPr>
          <w:rFonts w:hint="eastAsia"/>
          <w:color w:val="000000" w:themeColor="text1"/>
          <w:sz w:val="28"/>
          <w:szCs w:val="28"/>
        </w:rPr>
        <w:t>8.64</w:t>
      </w:r>
      <w:r>
        <w:rPr>
          <w:color w:val="000000" w:themeColor="text1"/>
          <w:sz w:val="28"/>
          <w:szCs w:val="28"/>
        </w:rPr>
        <w:t>亿m</w:t>
      </w:r>
      <w:r>
        <w:rPr>
          <w:rFonts w:hint="eastAsia"/>
          <w:color w:val="000000" w:themeColor="text1"/>
          <w:sz w:val="28"/>
          <w:szCs w:val="28"/>
          <w:vertAlign w:val="superscript"/>
        </w:rPr>
        <w:t>3</w:t>
      </w:r>
      <w:r>
        <w:rPr>
          <w:color w:val="000000" w:themeColor="text1"/>
          <w:sz w:val="28"/>
          <w:szCs w:val="28"/>
        </w:rPr>
        <w:t>，水资源开发利用率（河道外用水量占多年平均水资源总量的比例）为</w:t>
      </w:r>
      <w:r>
        <w:rPr>
          <w:rFonts w:hint="eastAsia"/>
          <w:color w:val="000000" w:themeColor="text1"/>
          <w:sz w:val="28"/>
          <w:szCs w:val="28"/>
        </w:rPr>
        <w:t>6.9%。2020年湘西州各行政分区水资源开发利用率见表13</w:t>
      </w:r>
    </w:p>
    <w:tbl>
      <w:tblPr>
        <w:tblStyle w:val="11"/>
        <w:tblW w:w="8369" w:type="dxa"/>
        <w:tblInd w:w="103" w:type="dxa"/>
        <w:tblLayout w:type="fixed"/>
        <w:tblCellMar>
          <w:top w:w="0" w:type="dxa"/>
          <w:left w:w="108" w:type="dxa"/>
          <w:bottom w:w="0" w:type="dxa"/>
          <w:right w:w="108" w:type="dxa"/>
        </w:tblCellMar>
      </w:tblPr>
      <w:tblGrid>
        <w:gridCol w:w="1281"/>
        <w:gridCol w:w="2362"/>
        <w:gridCol w:w="2363"/>
        <w:gridCol w:w="2363"/>
      </w:tblGrid>
      <w:tr>
        <w:tblPrEx>
          <w:tblCellMar>
            <w:top w:w="0" w:type="dxa"/>
            <w:left w:w="108" w:type="dxa"/>
            <w:bottom w:w="0" w:type="dxa"/>
            <w:right w:w="108" w:type="dxa"/>
          </w:tblCellMar>
        </w:tblPrEx>
        <w:trPr>
          <w:trHeight w:val="540" w:hRule="atLeast"/>
        </w:trPr>
        <w:tc>
          <w:tcPr>
            <w:tcW w:w="1281"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cs="宋体"/>
                <w:b/>
                <w:bCs/>
                <w:kern w:val="0"/>
                <w:sz w:val="24"/>
                <w:szCs w:val="24"/>
              </w:rPr>
            </w:pPr>
            <w:r>
              <w:rPr>
                <w:rFonts w:hint="eastAsia" w:cs="宋体"/>
                <w:b/>
                <w:bCs/>
                <w:kern w:val="0"/>
                <w:sz w:val="24"/>
                <w:szCs w:val="24"/>
              </w:rPr>
              <w:t>行政分区</w:t>
            </w:r>
          </w:p>
        </w:tc>
        <w:tc>
          <w:tcPr>
            <w:tcW w:w="2362" w:type="dxa"/>
            <w:tcBorders>
              <w:top w:val="single" w:color="auto" w:sz="4" w:space="0"/>
              <w:left w:val="nil"/>
              <w:bottom w:val="single" w:color="auto" w:sz="4" w:space="0"/>
              <w:right w:val="single" w:color="auto" w:sz="4" w:space="0"/>
            </w:tcBorders>
            <w:shd w:val="clear" w:color="auto" w:fill="auto"/>
            <w:vAlign w:val="center"/>
          </w:tcPr>
          <w:p>
            <w:pPr>
              <w:widowControl/>
              <w:jc w:val="center"/>
              <w:rPr>
                <w:rFonts w:cs="宋体"/>
                <w:b/>
                <w:bCs/>
                <w:kern w:val="0"/>
                <w:sz w:val="24"/>
                <w:szCs w:val="24"/>
              </w:rPr>
            </w:pPr>
            <w:r>
              <w:rPr>
                <w:rFonts w:hint="eastAsia" w:cs="宋体"/>
                <w:b/>
                <w:bCs/>
                <w:kern w:val="0"/>
                <w:sz w:val="24"/>
                <w:szCs w:val="24"/>
              </w:rPr>
              <w:t>多年平均水资源量</w:t>
            </w:r>
          </w:p>
        </w:tc>
        <w:tc>
          <w:tcPr>
            <w:tcW w:w="2363" w:type="dxa"/>
            <w:tcBorders>
              <w:top w:val="single" w:color="auto" w:sz="4" w:space="0"/>
              <w:left w:val="nil"/>
              <w:bottom w:val="single" w:color="auto" w:sz="4" w:space="0"/>
              <w:right w:val="single" w:color="auto" w:sz="4" w:space="0"/>
            </w:tcBorders>
            <w:shd w:val="clear" w:color="auto" w:fill="auto"/>
            <w:vAlign w:val="center"/>
          </w:tcPr>
          <w:p>
            <w:pPr>
              <w:widowControl/>
              <w:jc w:val="center"/>
              <w:rPr>
                <w:rFonts w:cs="宋体"/>
                <w:b/>
                <w:bCs/>
                <w:kern w:val="0"/>
                <w:sz w:val="24"/>
                <w:szCs w:val="24"/>
              </w:rPr>
            </w:pPr>
            <w:r>
              <w:rPr>
                <w:rFonts w:hint="eastAsia" w:cs="宋体"/>
                <w:b/>
                <w:bCs/>
                <w:kern w:val="0"/>
                <w:sz w:val="24"/>
                <w:szCs w:val="24"/>
              </w:rPr>
              <w:t>用水量</w:t>
            </w:r>
          </w:p>
        </w:tc>
        <w:tc>
          <w:tcPr>
            <w:tcW w:w="2363" w:type="dxa"/>
            <w:tcBorders>
              <w:top w:val="single" w:color="auto" w:sz="4" w:space="0"/>
              <w:left w:val="nil"/>
              <w:bottom w:val="single" w:color="auto" w:sz="4" w:space="0"/>
              <w:right w:val="single" w:color="auto" w:sz="4" w:space="0"/>
            </w:tcBorders>
            <w:shd w:val="clear" w:color="auto" w:fill="auto"/>
            <w:vAlign w:val="center"/>
          </w:tcPr>
          <w:p>
            <w:pPr>
              <w:widowControl/>
              <w:jc w:val="center"/>
              <w:rPr>
                <w:rFonts w:cs="宋体"/>
                <w:b/>
                <w:bCs/>
                <w:kern w:val="0"/>
                <w:sz w:val="24"/>
                <w:szCs w:val="24"/>
              </w:rPr>
            </w:pPr>
            <w:r>
              <w:rPr>
                <w:rFonts w:hint="eastAsia" w:cs="宋体"/>
                <w:b/>
                <w:bCs/>
                <w:kern w:val="0"/>
                <w:sz w:val="24"/>
                <w:szCs w:val="24"/>
              </w:rPr>
              <w:t>开发利用率</w:t>
            </w:r>
          </w:p>
        </w:tc>
      </w:tr>
      <w:tr>
        <w:tblPrEx>
          <w:tblCellMar>
            <w:top w:w="0" w:type="dxa"/>
            <w:left w:w="108" w:type="dxa"/>
            <w:bottom w:w="0" w:type="dxa"/>
            <w:right w:w="108" w:type="dxa"/>
          </w:tblCellMar>
        </w:tblPrEx>
        <w:trPr>
          <w:trHeight w:val="270" w:hRule="atLeast"/>
        </w:trPr>
        <w:tc>
          <w:tcPr>
            <w:tcW w:w="1281" w:type="dxa"/>
            <w:vMerge w:val="continue"/>
            <w:tcBorders>
              <w:top w:val="single" w:color="auto" w:sz="4" w:space="0"/>
              <w:left w:val="single" w:color="auto" w:sz="4" w:space="0"/>
              <w:bottom w:val="single" w:color="auto" w:sz="4" w:space="0"/>
              <w:right w:val="single" w:color="auto" w:sz="4" w:space="0"/>
            </w:tcBorders>
            <w:vAlign w:val="center"/>
          </w:tcPr>
          <w:p>
            <w:pPr>
              <w:widowControl/>
              <w:jc w:val="center"/>
              <w:rPr>
                <w:rFonts w:cs="宋体"/>
                <w:b/>
                <w:bCs/>
                <w:kern w:val="0"/>
                <w:sz w:val="24"/>
                <w:szCs w:val="24"/>
              </w:rPr>
            </w:pPr>
          </w:p>
        </w:tc>
        <w:tc>
          <w:tcPr>
            <w:tcW w:w="2362" w:type="dxa"/>
            <w:tcBorders>
              <w:top w:val="nil"/>
              <w:left w:val="nil"/>
              <w:bottom w:val="single" w:color="auto" w:sz="4" w:space="0"/>
              <w:right w:val="single" w:color="auto" w:sz="4" w:space="0"/>
            </w:tcBorders>
            <w:shd w:val="clear" w:color="auto" w:fill="auto"/>
            <w:vAlign w:val="center"/>
          </w:tcPr>
          <w:p>
            <w:pPr>
              <w:widowControl/>
              <w:jc w:val="center"/>
              <w:rPr>
                <w:rFonts w:cs="宋体"/>
                <w:bCs/>
                <w:kern w:val="0"/>
                <w:sz w:val="24"/>
                <w:szCs w:val="24"/>
              </w:rPr>
            </w:pPr>
            <w:r>
              <w:rPr>
                <w:rFonts w:hint="eastAsia" w:cs="宋体"/>
                <w:bCs/>
                <w:kern w:val="0"/>
                <w:sz w:val="24"/>
                <w:szCs w:val="24"/>
              </w:rPr>
              <w:t>亿m³</w:t>
            </w:r>
          </w:p>
        </w:tc>
        <w:tc>
          <w:tcPr>
            <w:tcW w:w="2363" w:type="dxa"/>
            <w:tcBorders>
              <w:top w:val="nil"/>
              <w:left w:val="nil"/>
              <w:bottom w:val="single" w:color="auto" w:sz="4" w:space="0"/>
              <w:right w:val="single" w:color="auto" w:sz="4" w:space="0"/>
            </w:tcBorders>
            <w:shd w:val="clear" w:color="auto" w:fill="auto"/>
            <w:vAlign w:val="center"/>
          </w:tcPr>
          <w:p>
            <w:pPr>
              <w:widowControl/>
              <w:jc w:val="center"/>
              <w:rPr>
                <w:rFonts w:cs="宋体"/>
                <w:bCs/>
                <w:kern w:val="0"/>
                <w:sz w:val="24"/>
                <w:szCs w:val="24"/>
              </w:rPr>
            </w:pPr>
            <w:r>
              <w:rPr>
                <w:rFonts w:hint="eastAsia" w:cs="宋体"/>
                <w:bCs/>
                <w:kern w:val="0"/>
                <w:sz w:val="24"/>
                <w:szCs w:val="24"/>
              </w:rPr>
              <w:t>亿m³</w:t>
            </w:r>
          </w:p>
        </w:tc>
        <w:tc>
          <w:tcPr>
            <w:tcW w:w="2363" w:type="dxa"/>
            <w:tcBorders>
              <w:top w:val="nil"/>
              <w:left w:val="nil"/>
              <w:bottom w:val="single" w:color="auto" w:sz="4" w:space="0"/>
              <w:right w:val="single" w:color="auto" w:sz="4" w:space="0"/>
            </w:tcBorders>
            <w:shd w:val="clear" w:color="auto" w:fill="auto"/>
            <w:vAlign w:val="center"/>
          </w:tcPr>
          <w:p>
            <w:pPr>
              <w:widowControl/>
              <w:jc w:val="center"/>
              <w:rPr>
                <w:rFonts w:cs="宋体"/>
                <w:bCs/>
                <w:kern w:val="0"/>
                <w:sz w:val="24"/>
                <w:szCs w:val="24"/>
              </w:rPr>
            </w:pPr>
            <w:r>
              <w:rPr>
                <w:rFonts w:hint="eastAsia" w:cs="宋体"/>
                <w:bCs/>
                <w:kern w:val="0"/>
                <w:sz w:val="24"/>
                <w:szCs w:val="24"/>
              </w:rPr>
              <w:t>%</w:t>
            </w:r>
          </w:p>
        </w:tc>
      </w:tr>
      <w:tr>
        <w:tblPrEx>
          <w:tblCellMar>
            <w:top w:w="0" w:type="dxa"/>
            <w:left w:w="108" w:type="dxa"/>
            <w:bottom w:w="0" w:type="dxa"/>
            <w:right w:w="108" w:type="dxa"/>
          </w:tblCellMar>
        </w:tblPrEx>
        <w:trPr>
          <w:trHeight w:val="270" w:hRule="atLeast"/>
        </w:trPr>
        <w:tc>
          <w:tcPr>
            <w:tcW w:w="1281"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吉首市</w:t>
            </w:r>
          </w:p>
        </w:tc>
        <w:tc>
          <w:tcPr>
            <w:tcW w:w="2362"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10.02</w:t>
            </w:r>
          </w:p>
        </w:tc>
        <w:tc>
          <w:tcPr>
            <w:tcW w:w="2363"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1.0</w:t>
            </w:r>
          </w:p>
        </w:tc>
        <w:tc>
          <w:tcPr>
            <w:tcW w:w="2363"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10.0</w:t>
            </w:r>
          </w:p>
        </w:tc>
      </w:tr>
      <w:tr>
        <w:tblPrEx>
          <w:tblCellMar>
            <w:top w:w="0" w:type="dxa"/>
            <w:left w:w="108" w:type="dxa"/>
            <w:bottom w:w="0" w:type="dxa"/>
            <w:right w:w="108" w:type="dxa"/>
          </w:tblCellMar>
        </w:tblPrEx>
        <w:trPr>
          <w:trHeight w:val="270" w:hRule="atLeast"/>
        </w:trPr>
        <w:tc>
          <w:tcPr>
            <w:tcW w:w="1281"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泸溪县</w:t>
            </w:r>
          </w:p>
        </w:tc>
        <w:tc>
          <w:tcPr>
            <w:tcW w:w="2362"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11.37</w:t>
            </w:r>
          </w:p>
        </w:tc>
        <w:tc>
          <w:tcPr>
            <w:tcW w:w="2363"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1.0</w:t>
            </w:r>
          </w:p>
        </w:tc>
        <w:tc>
          <w:tcPr>
            <w:tcW w:w="2363"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8.8</w:t>
            </w:r>
          </w:p>
        </w:tc>
      </w:tr>
      <w:tr>
        <w:tblPrEx>
          <w:tblCellMar>
            <w:top w:w="0" w:type="dxa"/>
            <w:left w:w="108" w:type="dxa"/>
            <w:bottom w:w="0" w:type="dxa"/>
            <w:right w:w="108" w:type="dxa"/>
          </w:tblCellMar>
        </w:tblPrEx>
        <w:trPr>
          <w:trHeight w:val="270" w:hRule="atLeast"/>
        </w:trPr>
        <w:tc>
          <w:tcPr>
            <w:tcW w:w="1281"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凤凰县</w:t>
            </w:r>
          </w:p>
        </w:tc>
        <w:tc>
          <w:tcPr>
            <w:tcW w:w="2362"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12.27</w:t>
            </w:r>
          </w:p>
        </w:tc>
        <w:tc>
          <w:tcPr>
            <w:tcW w:w="2363"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1.32</w:t>
            </w:r>
          </w:p>
        </w:tc>
        <w:tc>
          <w:tcPr>
            <w:tcW w:w="2363"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10.8</w:t>
            </w:r>
          </w:p>
        </w:tc>
      </w:tr>
      <w:tr>
        <w:tblPrEx>
          <w:tblCellMar>
            <w:top w:w="0" w:type="dxa"/>
            <w:left w:w="108" w:type="dxa"/>
            <w:bottom w:w="0" w:type="dxa"/>
            <w:right w:w="108" w:type="dxa"/>
          </w:tblCellMar>
        </w:tblPrEx>
        <w:trPr>
          <w:trHeight w:val="270" w:hRule="atLeast"/>
        </w:trPr>
        <w:tc>
          <w:tcPr>
            <w:tcW w:w="1281"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花垣县</w:t>
            </w:r>
          </w:p>
        </w:tc>
        <w:tc>
          <w:tcPr>
            <w:tcW w:w="2362"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9.22</w:t>
            </w:r>
          </w:p>
        </w:tc>
        <w:tc>
          <w:tcPr>
            <w:tcW w:w="2363"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1.05</w:t>
            </w:r>
          </w:p>
        </w:tc>
        <w:tc>
          <w:tcPr>
            <w:tcW w:w="2363"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11.4</w:t>
            </w:r>
          </w:p>
        </w:tc>
      </w:tr>
      <w:tr>
        <w:tblPrEx>
          <w:tblCellMar>
            <w:top w:w="0" w:type="dxa"/>
            <w:left w:w="108" w:type="dxa"/>
            <w:bottom w:w="0" w:type="dxa"/>
            <w:right w:w="108" w:type="dxa"/>
          </w:tblCellMar>
        </w:tblPrEx>
        <w:trPr>
          <w:trHeight w:val="270" w:hRule="atLeast"/>
        </w:trPr>
        <w:tc>
          <w:tcPr>
            <w:tcW w:w="1281"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保靖县</w:t>
            </w:r>
          </w:p>
        </w:tc>
        <w:tc>
          <w:tcPr>
            <w:tcW w:w="2362"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14.26</w:t>
            </w:r>
          </w:p>
        </w:tc>
        <w:tc>
          <w:tcPr>
            <w:tcW w:w="2363"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0.96</w:t>
            </w:r>
          </w:p>
        </w:tc>
        <w:tc>
          <w:tcPr>
            <w:tcW w:w="2363"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6.7</w:t>
            </w:r>
          </w:p>
        </w:tc>
      </w:tr>
      <w:tr>
        <w:tblPrEx>
          <w:tblCellMar>
            <w:top w:w="0" w:type="dxa"/>
            <w:left w:w="108" w:type="dxa"/>
            <w:bottom w:w="0" w:type="dxa"/>
            <w:right w:w="108" w:type="dxa"/>
          </w:tblCellMar>
        </w:tblPrEx>
        <w:trPr>
          <w:trHeight w:val="270" w:hRule="atLeast"/>
        </w:trPr>
        <w:tc>
          <w:tcPr>
            <w:tcW w:w="1281"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古丈县</w:t>
            </w:r>
          </w:p>
        </w:tc>
        <w:tc>
          <w:tcPr>
            <w:tcW w:w="2362"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10.56</w:t>
            </w:r>
          </w:p>
        </w:tc>
        <w:tc>
          <w:tcPr>
            <w:tcW w:w="2363"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0.46</w:t>
            </w:r>
          </w:p>
        </w:tc>
        <w:tc>
          <w:tcPr>
            <w:tcW w:w="2363"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4.4</w:t>
            </w:r>
          </w:p>
        </w:tc>
      </w:tr>
      <w:tr>
        <w:tblPrEx>
          <w:tblCellMar>
            <w:top w:w="0" w:type="dxa"/>
            <w:left w:w="108" w:type="dxa"/>
            <w:bottom w:w="0" w:type="dxa"/>
            <w:right w:w="108" w:type="dxa"/>
          </w:tblCellMar>
        </w:tblPrEx>
        <w:trPr>
          <w:trHeight w:val="270" w:hRule="atLeast"/>
        </w:trPr>
        <w:tc>
          <w:tcPr>
            <w:tcW w:w="1281"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永顺县</w:t>
            </w:r>
          </w:p>
        </w:tc>
        <w:tc>
          <w:tcPr>
            <w:tcW w:w="2362"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31.4</w:t>
            </w:r>
          </w:p>
        </w:tc>
        <w:tc>
          <w:tcPr>
            <w:tcW w:w="2363" w:type="dxa"/>
            <w:tcBorders>
              <w:top w:val="nil"/>
              <w:left w:val="nil"/>
              <w:bottom w:val="single" w:color="auto" w:sz="4" w:space="0"/>
              <w:right w:val="single" w:color="auto" w:sz="4" w:space="0"/>
            </w:tcBorders>
            <w:shd w:val="clear" w:color="auto" w:fill="auto"/>
            <w:vAlign w:val="center"/>
          </w:tcPr>
          <w:p>
            <w:pPr>
              <w:widowControl/>
              <w:jc w:val="center"/>
              <w:rPr>
                <w:rFonts w:cs="宋体"/>
                <w:color w:val="000000" w:themeColor="text1"/>
                <w:kern w:val="0"/>
                <w:sz w:val="24"/>
                <w:szCs w:val="24"/>
              </w:rPr>
            </w:pPr>
            <w:r>
              <w:rPr>
                <w:rFonts w:hint="eastAsia" w:cs="宋体"/>
                <w:color w:val="000000" w:themeColor="text1"/>
                <w:kern w:val="0"/>
                <w:sz w:val="24"/>
                <w:szCs w:val="24"/>
              </w:rPr>
              <w:t>1.69</w:t>
            </w:r>
          </w:p>
        </w:tc>
        <w:tc>
          <w:tcPr>
            <w:tcW w:w="2363"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5.5</w:t>
            </w:r>
          </w:p>
        </w:tc>
      </w:tr>
      <w:tr>
        <w:tblPrEx>
          <w:tblCellMar>
            <w:top w:w="0" w:type="dxa"/>
            <w:left w:w="108" w:type="dxa"/>
            <w:bottom w:w="0" w:type="dxa"/>
            <w:right w:w="108" w:type="dxa"/>
          </w:tblCellMar>
        </w:tblPrEx>
        <w:trPr>
          <w:trHeight w:val="270" w:hRule="atLeast"/>
        </w:trPr>
        <w:tc>
          <w:tcPr>
            <w:tcW w:w="1281"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龙山县</w:t>
            </w:r>
          </w:p>
        </w:tc>
        <w:tc>
          <w:tcPr>
            <w:tcW w:w="2362"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25.28</w:t>
            </w:r>
          </w:p>
        </w:tc>
        <w:tc>
          <w:tcPr>
            <w:tcW w:w="2363" w:type="dxa"/>
            <w:tcBorders>
              <w:top w:val="nil"/>
              <w:left w:val="nil"/>
              <w:bottom w:val="single" w:color="auto" w:sz="4" w:space="0"/>
              <w:right w:val="single" w:color="auto" w:sz="4" w:space="0"/>
            </w:tcBorders>
            <w:shd w:val="clear" w:color="auto" w:fill="auto"/>
            <w:vAlign w:val="center"/>
          </w:tcPr>
          <w:p>
            <w:pPr>
              <w:widowControl/>
              <w:jc w:val="center"/>
              <w:rPr>
                <w:rFonts w:cs="宋体"/>
                <w:color w:val="000000" w:themeColor="text1"/>
                <w:kern w:val="0"/>
                <w:sz w:val="24"/>
                <w:szCs w:val="24"/>
              </w:rPr>
            </w:pPr>
            <w:r>
              <w:rPr>
                <w:rFonts w:hint="eastAsia" w:cs="宋体"/>
                <w:color w:val="000000" w:themeColor="text1"/>
                <w:kern w:val="0"/>
                <w:sz w:val="24"/>
                <w:szCs w:val="24"/>
              </w:rPr>
              <w:t>1.17</w:t>
            </w:r>
          </w:p>
        </w:tc>
        <w:tc>
          <w:tcPr>
            <w:tcW w:w="2363"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4.5</w:t>
            </w:r>
          </w:p>
        </w:tc>
      </w:tr>
      <w:tr>
        <w:tblPrEx>
          <w:tblCellMar>
            <w:top w:w="0" w:type="dxa"/>
            <w:left w:w="108" w:type="dxa"/>
            <w:bottom w:w="0" w:type="dxa"/>
            <w:right w:w="108" w:type="dxa"/>
          </w:tblCellMar>
        </w:tblPrEx>
        <w:trPr>
          <w:trHeight w:val="270" w:hRule="atLeast"/>
        </w:trPr>
        <w:tc>
          <w:tcPr>
            <w:tcW w:w="1281"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全州</w:t>
            </w:r>
          </w:p>
        </w:tc>
        <w:tc>
          <w:tcPr>
            <w:tcW w:w="2362"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125</w:t>
            </w:r>
          </w:p>
        </w:tc>
        <w:tc>
          <w:tcPr>
            <w:tcW w:w="2363" w:type="dxa"/>
            <w:tcBorders>
              <w:top w:val="nil"/>
              <w:left w:val="nil"/>
              <w:bottom w:val="single" w:color="auto" w:sz="4" w:space="0"/>
              <w:right w:val="single" w:color="auto" w:sz="4" w:space="0"/>
            </w:tcBorders>
            <w:shd w:val="clear" w:color="auto" w:fill="auto"/>
            <w:vAlign w:val="center"/>
          </w:tcPr>
          <w:p>
            <w:pPr>
              <w:widowControl/>
              <w:jc w:val="center"/>
              <w:rPr>
                <w:rFonts w:cs="宋体"/>
                <w:kern w:val="0"/>
                <w:sz w:val="24"/>
                <w:szCs w:val="24"/>
              </w:rPr>
            </w:pPr>
            <w:r>
              <w:rPr>
                <w:rFonts w:hint="eastAsia" w:cs="宋体"/>
                <w:kern w:val="0"/>
                <w:sz w:val="24"/>
                <w:szCs w:val="24"/>
              </w:rPr>
              <w:t>8.65</w:t>
            </w:r>
          </w:p>
        </w:tc>
        <w:tc>
          <w:tcPr>
            <w:tcW w:w="2363" w:type="dxa"/>
            <w:tcBorders>
              <w:top w:val="nil"/>
              <w:left w:val="nil"/>
              <w:bottom w:val="single" w:color="auto" w:sz="4" w:space="0"/>
              <w:right w:val="single" w:color="auto" w:sz="4" w:space="0"/>
            </w:tcBorders>
            <w:shd w:val="clear" w:color="auto" w:fill="auto"/>
            <w:noWrap/>
            <w:vAlign w:val="center"/>
          </w:tcPr>
          <w:p>
            <w:pPr>
              <w:widowControl/>
              <w:jc w:val="center"/>
              <w:rPr>
                <w:rFonts w:cs="宋体"/>
                <w:kern w:val="0"/>
                <w:sz w:val="24"/>
                <w:szCs w:val="24"/>
              </w:rPr>
            </w:pPr>
            <w:r>
              <w:rPr>
                <w:rFonts w:hint="eastAsia" w:cs="宋体"/>
                <w:kern w:val="0"/>
                <w:sz w:val="24"/>
                <w:szCs w:val="24"/>
              </w:rPr>
              <w:t>6.9</w:t>
            </w:r>
          </w:p>
        </w:tc>
      </w:tr>
    </w:tbl>
    <w:p>
      <w:pPr>
        <w:ind w:hanging="142"/>
        <w:jc w:val="center"/>
        <w:rPr>
          <w:b/>
          <w:color w:val="000000" w:themeColor="text1"/>
          <w:sz w:val="28"/>
          <w:szCs w:val="28"/>
        </w:rPr>
      </w:pPr>
      <w:r>
        <w:rPr>
          <w:rFonts w:hint="eastAsia"/>
          <w:b/>
          <w:color w:val="000000" w:themeColor="text1"/>
          <w:sz w:val="28"/>
          <w:szCs w:val="28"/>
        </w:rPr>
        <w:t>△表13  2020年全州各行政分区水资源开发利用率</w:t>
      </w:r>
    </w:p>
    <w:p>
      <w:pPr>
        <w:widowControl/>
        <w:ind w:firstLine="560" w:firstLineChars="200"/>
        <w:jc w:val="left"/>
        <w:rPr>
          <w:color w:val="000000" w:themeColor="text1"/>
          <w:sz w:val="28"/>
          <w:szCs w:val="28"/>
        </w:rPr>
      </w:pPr>
    </w:p>
    <w:p>
      <w:pPr>
        <w:pStyle w:val="2"/>
        <w:rPr>
          <w:rFonts w:ascii="黑体" w:hAnsi="黑体" w:eastAsia="黑体"/>
          <w:kern w:val="32"/>
        </w:rPr>
      </w:pPr>
      <w:r>
        <w:rPr>
          <w:color w:val="000000" w:themeColor="text1"/>
          <w:sz w:val="28"/>
          <w:szCs w:val="28"/>
        </w:rPr>
        <w:br w:type="page"/>
      </w:r>
      <w:bookmarkStart w:id="11" w:name="_Toc90247722"/>
      <w:r>
        <w:rPr>
          <w:rFonts w:ascii="黑体" w:hAnsi="黑体" w:eastAsia="黑体"/>
          <w:kern w:val="32"/>
        </w:rPr>
        <w:t>五</w:t>
      </w:r>
      <w:r>
        <w:rPr>
          <w:rFonts w:hint="eastAsia" w:ascii="黑体" w:hAnsi="黑体" w:eastAsia="黑体"/>
          <w:kern w:val="32"/>
        </w:rPr>
        <w:t>、重要水事</w:t>
      </w:r>
      <w:bookmarkEnd w:id="11"/>
    </w:p>
    <w:p>
      <w:pPr>
        <w:ind w:firstLine="560" w:firstLineChars="200"/>
        <w:rPr>
          <w:sz w:val="28"/>
          <w:szCs w:val="28"/>
        </w:rPr>
      </w:pPr>
      <w:r>
        <w:rPr>
          <w:sz w:val="28"/>
          <w:szCs w:val="28"/>
        </w:rPr>
        <w:t>（一） 5月27日，湖南省地方标准《用水定额》(DB43/T388 2020)正式实施，《用水</w:t>
      </w:r>
      <w:r>
        <w:rPr>
          <w:rFonts w:hint="eastAsia"/>
          <w:sz w:val="28"/>
          <w:szCs w:val="28"/>
        </w:rPr>
        <w:t>定额》分为农业、工业、生活服务业及建筑业三大类，定额产品共计</w:t>
      </w:r>
      <w:r>
        <w:rPr>
          <w:sz w:val="28"/>
          <w:szCs w:val="28"/>
        </w:rPr>
        <w:t>512项，新增了先进值</w:t>
      </w:r>
      <w:r>
        <w:rPr>
          <w:rFonts w:hint="eastAsia"/>
          <w:sz w:val="28"/>
          <w:szCs w:val="28"/>
        </w:rPr>
        <w:t>和准入制，对促进各行业合理用水和节水减排具有重要意义，为我省打赢打好节约用水攻坚战再添新的“标尺”利器。</w:t>
      </w:r>
    </w:p>
    <w:p>
      <w:pPr>
        <w:ind w:firstLine="560" w:firstLineChars="200"/>
        <w:rPr>
          <w:sz w:val="28"/>
          <w:szCs w:val="28"/>
        </w:rPr>
      </w:pPr>
      <w:r>
        <w:rPr>
          <w:sz w:val="28"/>
          <w:szCs w:val="28"/>
        </w:rPr>
        <w:t xml:space="preserve"> (二)6月10日，湖南省水利科普展示中心正式开馆。该展示中心位于省厅防汛大楼一</w:t>
      </w:r>
      <w:r>
        <w:rPr>
          <w:rFonts w:hint="eastAsia"/>
          <w:sz w:val="28"/>
          <w:szCs w:val="28"/>
        </w:rPr>
        <w:t>楼，占地面积</w:t>
      </w:r>
      <w:r>
        <w:rPr>
          <w:sz w:val="28"/>
          <w:szCs w:val="28"/>
        </w:rPr>
        <w:t>380平米。首展以“盛世治水万象新”为主题，集中展示了湖南水利70年来的</w:t>
      </w:r>
      <w:r>
        <w:rPr>
          <w:rFonts w:hint="eastAsia"/>
          <w:sz w:val="28"/>
          <w:szCs w:val="28"/>
        </w:rPr>
        <w:t>改革发展成就。</w:t>
      </w:r>
    </w:p>
    <w:p>
      <w:pPr>
        <w:ind w:firstLine="560" w:firstLineChars="200"/>
        <w:rPr>
          <w:sz w:val="28"/>
          <w:szCs w:val="28"/>
        </w:rPr>
      </w:pPr>
      <w:r>
        <w:rPr>
          <w:sz w:val="28"/>
          <w:szCs w:val="28"/>
        </w:rPr>
        <w:t>(三)7月24日，省水利厅在长沙召开湖南省大中型灌区农业水价综合改革农业供水成</w:t>
      </w:r>
      <w:r>
        <w:rPr>
          <w:rFonts w:hint="eastAsia"/>
          <w:sz w:val="28"/>
          <w:szCs w:val="28"/>
        </w:rPr>
        <w:t>本核算咨询会，会上正式形成《湖南省大中型灌区农业水价综合改革农业供水成本核算报告》，对健全我省农业水价形成机制，明晰农业全成本和运维水价具有重要意义。</w:t>
      </w:r>
    </w:p>
    <w:p>
      <w:pPr>
        <w:ind w:firstLine="560" w:firstLineChars="200"/>
        <w:rPr>
          <w:sz w:val="28"/>
          <w:szCs w:val="28"/>
        </w:rPr>
      </w:pPr>
      <w:r>
        <w:rPr>
          <w:sz w:val="28"/>
          <w:szCs w:val="28"/>
        </w:rPr>
        <w:t>(四)8月26日，我省国家水资源监控能力建设项目顺利通过国家技术评估，我省将以</w:t>
      </w:r>
      <w:r>
        <w:rPr>
          <w:rFonts w:hint="eastAsia"/>
          <w:sz w:val="28"/>
          <w:szCs w:val="28"/>
        </w:rPr>
        <w:t>强化数据监测体系建设和强化业务应用为核心，走出一条管理更加高效、特色更加鲜明、服务更加优良的水资源管理新路子。</w:t>
      </w:r>
    </w:p>
    <w:p>
      <w:pPr>
        <w:ind w:firstLine="560" w:firstLineChars="200"/>
        <w:rPr>
          <w:sz w:val="28"/>
          <w:szCs w:val="28"/>
        </w:rPr>
      </w:pPr>
      <w:r>
        <w:rPr>
          <w:sz w:val="28"/>
          <w:szCs w:val="28"/>
        </w:rPr>
        <w:t>(</w:t>
      </w:r>
      <w:r>
        <w:rPr>
          <w:rFonts w:hint="eastAsia"/>
          <w:sz w:val="28"/>
          <w:szCs w:val="28"/>
        </w:rPr>
        <w:t>五</w:t>
      </w:r>
      <w:r>
        <w:rPr>
          <w:sz w:val="28"/>
          <w:szCs w:val="28"/>
        </w:rPr>
        <w:t>)9月24日~26日，我省河湖水质监测中心(湖南省农村饮水安全水质监测中</w:t>
      </w:r>
      <w:r>
        <w:rPr>
          <w:rFonts w:hint="eastAsia"/>
          <w:sz w:val="28"/>
          <w:szCs w:val="28"/>
        </w:rPr>
        <w:t>心</w:t>
      </w:r>
      <w:r>
        <w:rPr>
          <w:sz w:val="28"/>
          <w:szCs w:val="28"/>
        </w:rPr>
        <w:t>)顺利通过国家资质认定扩项现场评审，该中心可检测112项水体理化及生态指标，为省</w:t>
      </w:r>
      <w:r>
        <w:rPr>
          <w:rFonts w:hint="eastAsia"/>
          <w:sz w:val="28"/>
          <w:szCs w:val="28"/>
        </w:rPr>
        <w:t>河湖水质监测中心跻身“国内一</w:t>
      </w:r>
      <w:r>
        <w:rPr>
          <w:sz w:val="28"/>
          <w:szCs w:val="28"/>
        </w:rPr>
        <w:t>流、省内领先”实验室打下坚实基础，对保障水安全、改善</w:t>
      </w:r>
      <w:r>
        <w:rPr>
          <w:rFonts w:hint="eastAsia"/>
          <w:sz w:val="28"/>
          <w:szCs w:val="28"/>
        </w:rPr>
        <w:t>水生态、优化水环境具有重要推动作用。</w:t>
      </w:r>
    </w:p>
    <w:p>
      <w:pPr>
        <w:ind w:firstLine="560" w:firstLineChars="200"/>
        <w:rPr>
          <w:sz w:val="28"/>
          <w:szCs w:val="28"/>
        </w:rPr>
      </w:pPr>
      <w:r>
        <w:rPr>
          <w:sz w:val="28"/>
          <w:szCs w:val="28"/>
        </w:rPr>
        <w:t>(六) 12月23日，水利部行文正式批复《沅江流域综合规划》，规划范围为沅江常德</w:t>
      </w:r>
      <w:r>
        <w:rPr>
          <w:rFonts w:hint="eastAsia"/>
          <w:sz w:val="28"/>
          <w:szCs w:val="28"/>
        </w:rPr>
        <w:t>德山</w:t>
      </w:r>
      <w:r>
        <w:rPr>
          <w:sz w:val="28"/>
          <w:szCs w:val="28"/>
        </w:rPr>
        <w:t>(沅江入西洞庭湖)以上区域，规划区域总面积为8.98万平方公里。该规划将作为沅江</w:t>
      </w:r>
      <w:r>
        <w:rPr>
          <w:rFonts w:hint="eastAsia"/>
          <w:sz w:val="28"/>
          <w:szCs w:val="28"/>
        </w:rPr>
        <w:t>流域开发、利用、节约、保护水资源和防治水害的依据。</w:t>
      </w:r>
    </w:p>
    <w:p>
      <w:pPr>
        <w:ind w:firstLine="560" w:firstLineChars="200"/>
        <w:rPr>
          <w:sz w:val="28"/>
          <w:szCs w:val="28"/>
        </w:rPr>
      </w:pPr>
    </w:p>
    <w:p>
      <w:pPr>
        <w:widowControl/>
        <w:jc w:val="left"/>
        <w:rPr>
          <w:sz w:val="28"/>
          <w:szCs w:val="28"/>
        </w:rPr>
      </w:pPr>
      <w:r>
        <w:rPr>
          <w:sz w:val="28"/>
          <w:szCs w:val="28"/>
        </w:rPr>
        <w:br w:type="page"/>
      </w:r>
    </w:p>
    <w:p>
      <w:pPr>
        <w:pStyle w:val="2"/>
        <w:ind w:left="565" w:leftChars="269" w:firstLine="2"/>
      </w:pPr>
      <w:bookmarkStart w:id="12" w:name="_Toc90247723"/>
      <w:r>
        <w:rPr>
          <w:rFonts w:hint="eastAsia"/>
        </w:rPr>
        <w:t>术语解释</w:t>
      </w:r>
      <w:bookmarkEnd w:id="12"/>
    </w:p>
    <w:p>
      <w:pPr>
        <w:ind w:firstLine="562" w:firstLineChars="200"/>
        <w:rPr>
          <w:b/>
          <w:sz w:val="28"/>
          <w:szCs w:val="28"/>
        </w:rPr>
      </w:pPr>
      <w:r>
        <w:rPr>
          <w:rFonts w:hint="eastAsia"/>
          <w:b/>
          <w:sz w:val="28"/>
          <w:szCs w:val="28"/>
        </w:rPr>
        <w:t>地表水资源量</w:t>
      </w:r>
    </w:p>
    <w:p>
      <w:pPr>
        <w:ind w:firstLine="560" w:firstLineChars="200"/>
        <w:rPr>
          <w:sz w:val="28"/>
          <w:szCs w:val="28"/>
        </w:rPr>
      </w:pPr>
      <w:r>
        <w:rPr>
          <w:rFonts w:hint="eastAsia"/>
          <w:sz w:val="28"/>
          <w:szCs w:val="28"/>
        </w:rPr>
        <w:t>指河流、湖泊、冰川等地表水体逐年更新的动态水量，即天然河川径流量。</w:t>
      </w:r>
    </w:p>
    <w:p>
      <w:pPr>
        <w:ind w:firstLine="562" w:firstLineChars="200"/>
        <w:rPr>
          <w:b/>
          <w:sz w:val="28"/>
          <w:szCs w:val="28"/>
        </w:rPr>
      </w:pPr>
      <w:r>
        <w:rPr>
          <w:rFonts w:hint="eastAsia"/>
          <w:b/>
          <w:sz w:val="28"/>
          <w:szCs w:val="28"/>
        </w:rPr>
        <w:t>地下水资源量</w:t>
      </w:r>
    </w:p>
    <w:p>
      <w:pPr>
        <w:ind w:firstLine="560" w:firstLineChars="200"/>
        <w:rPr>
          <w:sz w:val="28"/>
          <w:szCs w:val="28"/>
        </w:rPr>
      </w:pPr>
      <w:r>
        <w:rPr>
          <w:rFonts w:hint="eastAsia"/>
          <w:sz w:val="28"/>
          <w:szCs w:val="28"/>
        </w:rPr>
        <w:t>指地下饱和含水层逐年更新的动态水量，即降水和地表水入渗地下水的补给量。</w:t>
      </w:r>
    </w:p>
    <w:p>
      <w:pPr>
        <w:ind w:firstLine="562" w:firstLineChars="200"/>
        <w:rPr>
          <w:b/>
          <w:sz w:val="28"/>
          <w:szCs w:val="28"/>
        </w:rPr>
      </w:pPr>
      <w:r>
        <w:rPr>
          <w:rFonts w:hint="eastAsia"/>
          <w:b/>
          <w:sz w:val="28"/>
          <w:szCs w:val="28"/>
        </w:rPr>
        <w:t>地表与地下水资源重复量</w:t>
      </w:r>
    </w:p>
    <w:p>
      <w:pPr>
        <w:ind w:firstLine="560" w:firstLineChars="200"/>
        <w:rPr>
          <w:sz w:val="28"/>
          <w:szCs w:val="28"/>
        </w:rPr>
      </w:pPr>
      <w:r>
        <w:rPr>
          <w:rFonts w:hint="eastAsia"/>
          <w:sz w:val="28"/>
          <w:szCs w:val="28"/>
        </w:rPr>
        <w:t>指按地表水资源量和地下水资源量的定义及其相应的计算方法，分别计算的地表水资源数量与地下水资源数量之间的重复计算量。造成重复计算量的原因是由于地表水与地下水之间存在相互转化关系。</w:t>
      </w:r>
    </w:p>
    <w:p>
      <w:pPr>
        <w:ind w:firstLine="562" w:firstLineChars="200"/>
        <w:rPr>
          <w:b/>
          <w:sz w:val="28"/>
          <w:szCs w:val="28"/>
        </w:rPr>
      </w:pPr>
      <w:r>
        <w:rPr>
          <w:rFonts w:hint="eastAsia"/>
          <w:b/>
          <w:sz w:val="28"/>
          <w:szCs w:val="28"/>
        </w:rPr>
        <w:t>水资源总量</w:t>
      </w:r>
    </w:p>
    <w:p>
      <w:pPr>
        <w:ind w:firstLine="560" w:firstLineChars="200"/>
        <w:rPr>
          <w:sz w:val="28"/>
          <w:szCs w:val="28"/>
        </w:rPr>
      </w:pPr>
      <w:r>
        <w:rPr>
          <w:rFonts w:hint="eastAsia"/>
          <w:sz w:val="28"/>
          <w:szCs w:val="28"/>
        </w:rPr>
        <w:t>指当地降水形成的地表、地下产水量，即地表径流量与降水入渗补给量之和。</w:t>
      </w:r>
    </w:p>
    <w:p>
      <w:pPr>
        <w:ind w:firstLine="562" w:firstLineChars="200"/>
        <w:rPr>
          <w:b/>
          <w:sz w:val="28"/>
          <w:szCs w:val="28"/>
        </w:rPr>
      </w:pPr>
      <w:r>
        <w:rPr>
          <w:rFonts w:hint="eastAsia"/>
          <w:b/>
          <w:sz w:val="28"/>
          <w:szCs w:val="28"/>
        </w:rPr>
        <w:t>供水量</w:t>
      </w:r>
    </w:p>
    <w:p>
      <w:pPr>
        <w:ind w:firstLine="560" w:firstLineChars="200"/>
        <w:rPr>
          <w:sz w:val="28"/>
          <w:szCs w:val="28"/>
        </w:rPr>
      </w:pPr>
      <w:r>
        <w:rPr>
          <w:rFonts w:hint="eastAsia"/>
          <w:sz w:val="28"/>
          <w:szCs w:val="28"/>
        </w:rPr>
        <w:t>指各种水源为用水户提供的包括输水损失在内的水量之和，按受水区分地表水源、地下水源和其他水源统计。地表水源供水量规定，以水库、塘坝为水源的，无论是自流引水或提水，均属蓄水工程供水量</w:t>
      </w:r>
      <w:r>
        <w:rPr>
          <w:sz w:val="28"/>
          <w:szCs w:val="28"/>
        </w:rPr>
        <w:t>;从河湖中自流引水的，无论有闸坝或无闸坝，均属引水工程供水</w:t>
      </w:r>
      <w:r>
        <w:rPr>
          <w:rFonts w:hint="eastAsia"/>
          <w:sz w:val="28"/>
          <w:szCs w:val="28"/>
        </w:rPr>
        <w:t>量</w:t>
      </w:r>
      <w:r>
        <w:rPr>
          <w:sz w:val="28"/>
          <w:szCs w:val="28"/>
        </w:rPr>
        <w:t>;利用泵站从河湖直接取水的，均属提水工程供水量。</w:t>
      </w:r>
    </w:p>
    <w:p>
      <w:pPr>
        <w:ind w:firstLine="562" w:firstLineChars="200"/>
        <w:rPr>
          <w:b/>
          <w:sz w:val="28"/>
          <w:szCs w:val="28"/>
        </w:rPr>
      </w:pPr>
      <w:r>
        <w:rPr>
          <w:rFonts w:hint="eastAsia"/>
          <w:b/>
          <w:sz w:val="28"/>
          <w:szCs w:val="28"/>
        </w:rPr>
        <w:t>用水量</w:t>
      </w:r>
    </w:p>
    <w:p>
      <w:pPr>
        <w:ind w:firstLine="560" w:firstLineChars="200"/>
        <w:rPr>
          <w:sz w:val="28"/>
          <w:szCs w:val="28"/>
        </w:rPr>
      </w:pPr>
      <w:r>
        <w:rPr>
          <w:rFonts w:hint="eastAsia"/>
          <w:sz w:val="28"/>
          <w:szCs w:val="28"/>
        </w:rPr>
        <w:t>指各类用水户取用的包括输水损失在内的毛水量之和。按生活用水、工业用水、农业用水和人工生态环境补水四大类用户统计，不包括海水直接利用量以及水力发电、航运等河道内用水量。生活用水包括城镇生活用水和农村生活用水，其中城镇生活用水由居民用水和公共用水</w:t>
      </w:r>
      <w:r>
        <w:rPr>
          <w:sz w:val="28"/>
          <w:szCs w:val="28"/>
        </w:rPr>
        <w:t>(含第三产业及建筑业等用水)组成;农村生活用水指居民生活用水。工业用水指工</w:t>
      </w:r>
      <w:r>
        <w:rPr>
          <w:rFonts w:hint="eastAsia"/>
          <w:sz w:val="28"/>
          <w:szCs w:val="28"/>
        </w:rPr>
        <w:t>矿企业在生产过程中用于制造、加工、冷却、空调、净化、洗涤等方面的用水，按新水取用量计，不包括企业内部的重复利用水量。农业用水包括耕地灌溉和林地、园地、牧草地灌溉，鱼塘补水及牲畜用水。人工生态环境补水仅包括人为措施供给的城镇环境用水和部分河湖、湿地补水，而不包括降水、径流自然满足的水量。</w:t>
      </w:r>
    </w:p>
    <w:p>
      <w:pPr>
        <w:ind w:firstLine="562" w:firstLineChars="200"/>
        <w:rPr>
          <w:b/>
          <w:sz w:val="28"/>
          <w:szCs w:val="28"/>
        </w:rPr>
      </w:pPr>
      <w:r>
        <w:rPr>
          <w:rFonts w:hint="eastAsia"/>
          <w:b/>
          <w:sz w:val="28"/>
          <w:szCs w:val="28"/>
        </w:rPr>
        <w:t>用水消耗量</w:t>
      </w:r>
    </w:p>
    <w:p>
      <w:pPr>
        <w:ind w:firstLine="560" w:firstLineChars="200"/>
        <w:rPr>
          <w:sz w:val="28"/>
          <w:szCs w:val="28"/>
        </w:rPr>
      </w:pPr>
      <w:r>
        <w:rPr>
          <w:rFonts w:hint="eastAsia"/>
          <w:sz w:val="28"/>
          <w:szCs w:val="28"/>
        </w:rPr>
        <w:t>指在输水、用水过程中，通过蒸腾蒸发、土壤吸收、产品吸附、居民和牲畜饮用等多种途径消耗掉，而不能回归到地表水体和地下含水层的水量。</w:t>
      </w:r>
    </w:p>
    <w:p>
      <w:pPr>
        <w:rPr>
          <w:sz w:val="28"/>
          <w:szCs w:val="28"/>
        </w:rPr>
      </w:pPr>
      <w:r>
        <w:rPr>
          <w:rFonts w:hint="eastAsia"/>
          <w:sz w:val="28"/>
          <w:szCs w:val="28"/>
        </w:rPr>
        <w:drawing>
          <wp:inline distT="0" distB="0" distL="0" distR="0">
            <wp:extent cx="5274310" cy="2600325"/>
            <wp:effectExtent l="19050" t="0" r="2540" b="0"/>
            <wp:docPr id="21" name="图片 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1" name="图片 7"/>
                    <pic:cNvPicPr>
                      <a:picLocks noChangeAspect="true" noChangeArrowheads="true"/>
                    </pic:cNvPicPr>
                  </pic:nvPicPr>
                  <pic:blipFill>
                    <a:blip r:embed="rId19"/>
                    <a:srcRect/>
                    <a:stretch>
                      <a:fillRect/>
                    </a:stretch>
                  </pic:blipFill>
                  <pic:spPr>
                    <a:xfrm>
                      <a:off x="0" y="0"/>
                      <a:ext cx="5274310" cy="2600325"/>
                    </a:xfrm>
                    <a:prstGeom prst="rect">
                      <a:avLst/>
                    </a:prstGeom>
                    <a:noFill/>
                    <a:ln w="9525">
                      <a:noFill/>
                      <a:miter lim="800000"/>
                      <a:headEnd/>
                      <a:tailEnd/>
                    </a:ln>
                  </pic:spPr>
                </pic:pic>
              </a:graphicData>
            </a:graphic>
          </wp:inline>
        </w:drawing>
      </w:r>
    </w:p>
    <w:p>
      <w:pPr>
        <w:widowControl/>
        <w:jc w:val="left"/>
        <w:rPr>
          <w:sz w:val="28"/>
          <w:szCs w:val="28"/>
        </w:rPr>
      </w:pPr>
      <w:r>
        <w:rPr>
          <w:sz w:val="28"/>
          <w:szCs w:val="28"/>
        </w:rPr>
        <w:br w:type="page"/>
      </w:r>
    </w:p>
    <w:p>
      <w:pPr>
        <w:ind w:firstLine="560" w:firstLineChars="200"/>
        <w:rPr>
          <w:sz w:val="28"/>
          <w:szCs w:val="28"/>
        </w:rPr>
      </w:pPr>
    </w:p>
    <w:p>
      <w:pPr>
        <w:ind w:firstLine="560" w:firstLineChars="200"/>
        <w:rPr>
          <w:sz w:val="28"/>
          <w:szCs w:val="28"/>
        </w:rPr>
      </w:pPr>
    </w:p>
    <w:p>
      <w:pPr>
        <w:ind w:firstLine="560" w:firstLineChars="200"/>
        <w:rPr>
          <w:sz w:val="28"/>
          <w:szCs w:val="28"/>
        </w:rPr>
      </w:pPr>
    </w:p>
    <w:p>
      <w:pPr>
        <w:ind w:firstLine="560" w:firstLineChars="200"/>
        <w:rPr>
          <w:sz w:val="28"/>
          <w:szCs w:val="28"/>
        </w:rPr>
      </w:pPr>
    </w:p>
    <w:p>
      <w:pPr>
        <w:ind w:firstLine="560" w:firstLineChars="200"/>
        <w:rPr>
          <w:sz w:val="28"/>
          <w:szCs w:val="28"/>
        </w:rPr>
      </w:pPr>
    </w:p>
    <w:p>
      <w:pPr>
        <w:ind w:firstLine="560" w:firstLineChars="200"/>
        <w:rPr>
          <w:sz w:val="28"/>
          <w:szCs w:val="28"/>
        </w:rPr>
      </w:pPr>
    </w:p>
    <w:p>
      <w:pPr>
        <w:ind w:firstLine="560" w:firstLineChars="200"/>
        <w:rPr>
          <w:sz w:val="28"/>
          <w:szCs w:val="28"/>
        </w:rPr>
      </w:pPr>
    </w:p>
    <w:p>
      <w:pPr>
        <w:ind w:firstLine="560" w:firstLineChars="200"/>
        <w:rPr>
          <w:sz w:val="28"/>
          <w:szCs w:val="28"/>
        </w:rPr>
      </w:pPr>
    </w:p>
    <w:p>
      <w:pPr>
        <w:ind w:firstLine="560" w:firstLineChars="200"/>
        <w:rPr>
          <w:sz w:val="28"/>
          <w:szCs w:val="28"/>
        </w:rPr>
      </w:pPr>
    </w:p>
    <w:p>
      <w:pPr>
        <w:ind w:firstLine="560" w:firstLineChars="200"/>
        <w:rPr>
          <w:sz w:val="28"/>
          <w:szCs w:val="28"/>
        </w:rPr>
      </w:pPr>
    </w:p>
    <w:p>
      <w:pPr>
        <w:ind w:firstLine="560" w:firstLineChars="200"/>
        <w:rPr>
          <w:sz w:val="28"/>
          <w:szCs w:val="28"/>
        </w:rPr>
      </w:pPr>
    </w:p>
    <w:p>
      <w:pPr>
        <w:ind w:firstLine="560" w:firstLineChars="200"/>
        <w:rPr>
          <w:sz w:val="28"/>
          <w:szCs w:val="28"/>
        </w:rPr>
      </w:pPr>
      <w:r>
        <w:rPr>
          <w:rFonts w:hint="eastAsia"/>
          <w:sz w:val="28"/>
          <w:szCs w:val="28"/>
        </w:rPr>
        <w:t>发布单位：湖南省湘西土家族苗族自治州水利局</w:t>
      </w:r>
    </w:p>
    <w:p>
      <w:pPr>
        <w:ind w:firstLine="560" w:firstLineChars="200"/>
        <w:rPr>
          <w:sz w:val="28"/>
          <w:szCs w:val="28"/>
        </w:rPr>
      </w:pPr>
      <w:r>
        <w:rPr>
          <w:rFonts w:hint="eastAsia"/>
          <w:sz w:val="28"/>
          <w:szCs w:val="28"/>
        </w:rPr>
        <w:t>编制单位：湖南省湘西水文水资源勘测局</w:t>
      </w:r>
    </w:p>
    <w:p>
      <w:pPr>
        <w:ind w:firstLine="560" w:firstLineChars="200"/>
        <w:rPr>
          <w:sz w:val="28"/>
          <w:szCs w:val="28"/>
        </w:rPr>
      </w:pPr>
    </w:p>
    <w:p>
      <w:pPr>
        <w:ind w:firstLine="560" w:firstLineChars="200"/>
        <w:rPr>
          <w:color w:val="FF0000"/>
          <w:sz w:val="28"/>
          <w:szCs w:val="28"/>
        </w:rPr>
      </w:pPr>
      <w:r>
        <w:rPr>
          <w:rFonts w:hint="eastAsia"/>
          <w:sz w:val="28"/>
          <w:szCs w:val="28"/>
        </w:rPr>
        <w:t>批</w:t>
      </w:r>
      <w:r>
        <w:rPr>
          <w:sz w:val="28"/>
          <w:szCs w:val="28"/>
        </w:rPr>
        <w:t xml:space="preserve">    准：</w:t>
      </w:r>
      <w:r>
        <w:rPr>
          <w:rFonts w:hint="eastAsia"/>
          <w:color w:val="000000" w:themeColor="text1"/>
          <w:sz w:val="28"/>
          <w:szCs w:val="28"/>
        </w:rPr>
        <w:t>陈海波</w:t>
      </w:r>
    </w:p>
    <w:p>
      <w:pPr>
        <w:ind w:firstLine="560" w:firstLineChars="200"/>
        <w:rPr>
          <w:sz w:val="28"/>
          <w:szCs w:val="28"/>
        </w:rPr>
      </w:pPr>
      <w:r>
        <w:rPr>
          <w:rFonts w:hint="eastAsia"/>
          <w:sz w:val="28"/>
          <w:szCs w:val="28"/>
        </w:rPr>
        <w:t>审</w:t>
      </w:r>
      <w:r>
        <w:rPr>
          <w:sz w:val="28"/>
          <w:szCs w:val="28"/>
        </w:rPr>
        <w:t xml:space="preserve">    定：蔣利润</w:t>
      </w:r>
    </w:p>
    <w:p>
      <w:pPr>
        <w:ind w:firstLine="560" w:firstLineChars="200"/>
        <w:rPr>
          <w:sz w:val="28"/>
          <w:szCs w:val="28"/>
        </w:rPr>
      </w:pPr>
      <w:r>
        <w:rPr>
          <w:rFonts w:hint="eastAsia"/>
          <w:sz w:val="28"/>
          <w:szCs w:val="28"/>
        </w:rPr>
        <w:t>审</w:t>
      </w:r>
      <w:r>
        <w:rPr>
          <w:sz w:val="28"/>
          <w:szCs w:val="28"/>
        </w:rPr>
        <w:t xml:space="preserve">    查：米承胜</w:t>
      </w:r>
    </w:p>
    <w:p>
      <w:pPr>
        <w:ind w:firstLine="560" w:firstLineChars="200"/>
        <w:rPr>
          <w:sz w:val="28"/>
          <w:szCs w:val="28"/>
        </w:rPr>
      </w:pPr>
      <w:r>
        <w:rPr>
          <w:rFonts w:hint="eastAsia"/>
          <w:sz w:val="28"/>
          <w:szCs w:val="28"/>
        </w:rPr>
        <w:t>初</w:t>
      </w:r>
      <w:r>
        <w:rPr>
          <w:sz w:val="28"/>
          <w:szCs w:val="28"/>
        </w:rPr>
        <w:t xml:space="preserve">    审：唐晓岚</w:t>
      </w:r>
    </w:p>
    <w:p>
      <w:pPr>
        <w:ind w:firstLine="560" w:firstLineChars="200"/>
        <w:rPr>
          <w:sz w:val="28"/>
          <w:szCs w:val="28"/>
        </w:rPr>
      </w:pPr>
      <w:r>
        <w:rPr>
          <w:rFonts w:hint="eastAsia"/>
          <w:sz w:val="28"/>
          <w:szCs w:val="28"/>
        </w:rPr>
        <w:t>责任编辑：李志勤</w:t>
      </w:r>
      <w:r>
        <w:rPr>
          <w:sz w:val="28"/>
          <w:szCs w:val="28"/>
        </w:rPr>
        <w:t xml:space="preserve">   严</w:t>
      </w:r>
      <w:r>
        <w:rPr>
          <w:rFonts w:hint="eastAsia"/>
          <w:sz w:val="28"/>
          <w:szCs w:val="28"/>
        </w:rPr>
        <w:t xml:space="preserve">  </w:t>
      </w:r>
      <w:r>
        <w:rPr>
          <w:sz w:val="28"/>
          <w:szCs w:val="28"/>
        </w:rPr>
        <w:t>萧</w:t>
      </w:r>
    </w:p>
    <w:p>
      <w:pPr>
        <w:ind w:firstLine="560" w:firstLineChars="200"/>
        <w:rPr>
          <w:sz w:val="28"/>
          <w:szCs w:val="28"/>
        </w:rPr>
      </w:pPr>
      <w:r>
        <w:rPr>
          <w:rFonts w:hint="eastAsia"/>
          <w:sz w:val="28"/>
          <w:szCs w:val="28"/>
        </w:rPr>
        <w:t>编</w:t>
      </w:r>
      <w:r>
        <w:rPr>
          <w:sz w:val="28"/>
          <w:szCs w:val="28"/>
        </w:rPr>
        <w:t xml:space="preserve">    辑：严  萧  车越洲  梁  岚  </w:t>
      </w:r>
      <w:r>
        <w:rPr>
          <w:rFonts w:hint="eastAsia"/>
          <w:sz w:val="28"/>
          <w:szCs w:val="28"/>
        </w:rPr>
        <w:t>白</w:t>
      </w:r>
      <w:r>
        <w:rPr>
          <w:sz w:val="28"/>
          <w:szCs w:val="28"/>
        </w:rPr>
        <w:t xml:space="preserve">  </w:t>
      </w:r>
      <w:r>
        <w:rPr>
          <w:rFonts w:hint="eastAsia"/>
          <w:sz w:val="28"/>
          <w:szCs w:val="28"/>
        </w:rPr>
        <w:t>纯</w:t>
      </w:r>
      <w:r>
        <w:rPr>
          <w:sz w:val="28"/>
          <w:szCs w:val="28"/>
        </w:rPr>
        <w:t xml:space="preserve">  熊一东</w:t>
      </w:r>
    </w:p>
    <w:p>
      <w:pPr>
        <w:ind w:firstLine="560" w:firstLineChars="200"/>
        <w:rPr>
          <w:sz w:val="28"/>
          <w:szCs w:val="28"/>
        </w:rPr>
      </w:pPr>
      <w:r>
        <w:rPr>
          <w:rFonts w:hint="eastAsia"/>
          <w:sz w:val="28"/>
          <w:szCs w:val="28"/>
        </w:rPr>
        <w:t>资料调查：李志勤</w:t>
      </w:r>
      <w:r>
        <w:rPr>
          <w:sz w:val="28"/>
          <w:szCs w:val="28"/>
        </w:rPr>
        <w:t xml:space="preserve">  严  萧  龙先鹏  梁  岚  欧阳明  </w:t>
      </w:r>
    </w:p>
    <w:p>
      <w:pPr>
        <w:ind w:firstLine="840" w:firstLineChars="300"/>
        <w:rPr>
          <w:sz w:val="28"/>
          <w:szCs w:val="28"/>
        </w:rPr>
      </w:pPr>
      <w:r>
        <w:rPr>
          <w:rFonts w:hint="eastAsia"/>
          <w:sz w:val="28"/>
          <w:szCs w:val="28"/>
        </w:rPr>
        <w:t>田</w:t>
      </w:r>
      <w:r>
        <w:rPr>
          <w:sz w:val="28"/>
          <w:szCs w:val="28"/>
        </w:rPr>
        <w:t xml:space="preserve">  源  吴清泉  张  兵  刘康桥  刘运旭</w:t>
      </w:r>
    </w:p>
    <w:sectPr>
      <w:footerReference r:id="rId5" w:type="default"/>
      <w:pgSz w:w="11906" w:h="16838"/>
      <w:pgMar w:top="1134" w:right="1800" w:bottom="1440" w:left="1800" w:header="851" w:footer="992" w:gutter="0"/>
      <w:pgNumType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方正书宋_GBK"/>
    <w:panose1 w:val="00000000000000000000"/>
    <w:charset w:val="86"/>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altName w:val="Nimbus Roman No9 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altName w:val="DejaVu Sans"/>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altName w:val="DejaVu Sans"/>
    <w:panose1 w:val="020F0502020204030204"/>
    <w:charset w:val="00"/>
    <w:family w:val="swiss"/>
    <w:pitch w:val="default"/>
    <w:sig w:usb0="00000000" w:usb1="00000000" w:usb2="00000001" w:usb3="00000000" w:csb0="0000019F" w:csb1="00000000"/>
  </w:font>
  <w:font w:name="等线">
    <w:altName w:val="汉仪仿宋S"/>
    <w:panose1 w:val="00000000000000000000"/>
    <w:charset w:val="86"/>
    <w:family w:val="auto"/>
    <w:pitch w:val="default"/>
    <w:sig w:usb0="00000000" w:usb1="00000000" w:usb2="00000016" w:usb3="00000000" w:csb0="0004000F" w:csb1="00000000"/>
  </w:font>
  <w:font w:name="等线">
    <w:altName w:val="汉仪仿宋S"/>
    <w:panose1 w:val="00000000000000000000"/>
    <w:charset w:val="86"/>
    <w:family w:val="auto"/>
    <w:pitch w:val="default"/>
    <w:sig w:usb0="00000000" w:usb1="00000000" w:usb2="00000000" w:usb3="00000000" w:csb0="00000000" w:csb1="00000000"/>
  </w:font>
  <w:font w:name="等线">
    <w:altName w:val="汉仪仿宋S"/>
    <w:panose1 w:val="00000000000000000000"/>
    <w:charset w:val="00"/>
    <w:family w:val="auto"/>
    <w:pitch w:val="default"/>
    <w:sig w:usb0="00000000" w:usb1="00000000" w:usb2="00000000" w:usb3="00000000" w:csb0="00000000" w:csb1="00000000"/>
  </w:font>
  <w:font w:name="等线 Light">
    <w:altName w:val="汉仪仿宋S"/>
    <w:panose1 w:val="00000000000000000000"/>
    <w:charset w:val="86"/>
    <w:family w:val="auto"/>
    <w:pitch w:val="default"/>
    <w:sig w:usb0="00000000" w:usb1="00000000" w:usb2="00000016" w:usb3="00000000" w:csb0="0004000F" w:csb1="00000000"/>
  </w:font>
  <w:font w:name="Dotum">
    <w:altName w:val="汉仪仿宋S"/>
    <w:panose1 w:val="020B0600000101010101"/>
    <w:charset w:val="81"/>
    <w:family w:val="swiss"/>
    <w:pitch w:val="default"/>
    <w:sig w:usb0="00000000" w:usb1="00000000" w:usb2="00000030" w:usb3="00000000" w:csb0="0008009F" w:csb1="00000000"/>
  </w:font>
  <w:font w:name="隶书">
    <w:altName w:val="方正隶书_GBK"/>
    <w:panose1 w:val="02010509060101010101"/>
    <w:charset w:val="86"/>
    <w:family w:val="modern"/>
    <w:pitch w:val="default"/>
    <w:sig w:usb0="00000000" w:usb1="00000000" w:usb2="00000010" w:usb3="00000000" w:csb0="00040000" w:csb1="00000000"/>
  </w:font>
  <w:font w:name="汉仪仿宋S">
    <w:panose1 w:val="00020600040101000101"/>
    <w:charset w:val="86"/>
    <w:family w:val="auto"/>
    <w:pitch w:val="default"/>
    <w:sig w:usb0="A00002BF" w:usb1="38CF7CFA" w:usb2="00000016" w:usb3="00000000" w:csb0="0004009F" w:csb1="00000000"/>
  </w:font>
  <w:font w:name="方正隶书_GBK">
    <w:panose1 w:val="02000000000000000000"/>
    <w:charset w:val="86"/>
    <w:family w:val="auto"/>
    <w:pitch w:val="default"/>
    <w:sig w:usb0="00000001" w:usb1="08000000" w:usb2="00000000" w:usb3="00000000" w:csb0="00040000" w:csb1="00000000"/>
  </w:font>
  <w:font w:name="方正书宋_GBK">
    <w:panose1 w:val="02000000000000000000"/>
    <w:charset w:val="86"/>
    <w:family w:val="auto"/>
    <w:pitch w:val="default"/>
    <w:sig w:usb0="00000001" w:usb1="08000000" w:usb2="00000000" w:usb3="00000000" w:csb0="00040000" w:csb1="00000000"/>
  </w:font>
  <w:font w:name="Nimbus Roman No9 L">
    <w:panose1 w:val="00000000000000000000"/>
    <w:charset w:val="00"/>
    <w:family w:val="auto"/>
    <w:pitch w:val="default"/>
    <w:sig w:usb0="00000000" w:usb1="00000000" w:usb2="00000000" w:usb3="00000000" w:csb0="00000000" w:csb1="00000000"/>
  </w:font>
  <w:font w:name="DejaVu Sans">
    <w:panose1 w:val="020B0603030804020204"/>
    <w:charset w:val="00"/>
    <w:family w:val="auto"/>
    <w:pitch w:val="default"/>
    <w:sig w:usb0="E7006EFF" w:usb1="D200FDFF" w:usb2="0A246029" w:usb3="0400200C" w:csb0="600001FF" w:csb1="DFFF0000"/>
  </w:font>
  <w:font w:name="Liberation Serif">
    <w:panose1 w:val="02020603050405020304"/>
    <w:charset w:val="00"/>
    <w:family w:val="auto"/>
    <w:pitch w:val="default"/>
    <w:sig w:usb0="A00002AF" w:usb1="500078FB" w:usb2="00000000" w:usb3="00000000" w:csb0="6000009F" w:csb1="DFD70000"/>
  </w:font>
  <w:font w:name="方正宋体S-超大字符集">
    <w:panose1 w:val="02000000000000000000"/>
    <w:charset w:val="86"/>
    <w:family w:val="auto"/>
    <w:pitch w:val="default"/>
    <w:sig w:usb0="00000001" w:usb1="08000000" w:usb2="00000000" w:usb3="00000000" w:csb0="00040000" w:csb1="00000000"/>
  </w:font>
  <w:font w:name="等线 Light">
    <w:altName w:val="汉仪仿宋S"/>
    <w:panose1 w:val="00000000000000000000"/>
    <w:charset w:val="00"/>
    <w:family w:val="auto"/>
    <w:pitch w:val="default"/>
    <w:sig w:usb0="00000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jc w:val="center"/>
    </w:pPr>
  </w:p>
  <w:p>
    <w:pPr>
      <w:pStyle w:val="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578633889"/>
      <w:docPartObj>
        <w:docPartGallery w:val="autotext"/>
      </w:docPartObj>
    </w:sdtPr>
    <w:sdtContent>
      <w:p>
        <w:pPr>
          <w:pStyle w:val="7"/>
          <w:jc w:val="center"/>
        </w:pPr>
        <w:r>
          <w:fldChar w:fldCharType="begin"/>
        </w:r>
        <w:r>
          <w:instrText xml:space="preserve">PAGE   \* MERGEFORMAT</w:instrText>
        </w:r>
        <w:r>
          <w:fldChar w:fldCharType="separate"/>
        </w:r>
        <w:r>
          <w:rPr>
            <w:lang w:val="zh-CN"/>
          </w:rPr>
          <w:t>17</w:t>
        </w:r>
        <w:r>
          <w:rPr>
            <w:lang w:val="zh-CN"/>
          </w:rPr>
          <w:fldChar w:fldCharType="end"/>
        </w:r>
      </w:p>
    </w:sdtContent>
  </w:sdt>
  <w:p>
    <w:pPr>
      <w:pStyle w:val="7"/>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jc w:val="right"/>
    </w:pPr>
    <w:r>
      <w:rPr>
        <w:rFonts w:hint="eastAsia" w:ascii="黑体" w:eastAsia="黑体"/>
        <w:b/>
        <w:i/>
        <w:color w:val="2E74B5"/>
        <w:kern w:val="0"/>
        <w:sz w:val="32"/>
        <w:szCs w:val="32"/>
        <w:u w:val="thick" w:color="003300"/>
      </w:rPr>
      <w:t>湘西土家族苗族自治州水资源公报</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4"/>
  <w:bordersDoNotSurroundHeader w:val="true"/>
  <w:bordersDoNotSurroundFooter w:val="true"/>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rsids>
    <w:rsidRoot w:val="00933348"/>
    <w:rsid w:val="00013CD9"/>
    <w:rsid w:val="00066633"/>
    <w:rsid w:val="00097780"/>
    <w:rsid w:val="000C3C1C"/>
    <w:rsid w:val="000D1835"/>
    <w:rsid w:val="00110238"/>
    <w:rsid w:val="00156AF3"/>
    <w:rsid w:val="001B5F6D"/>
    <w:rsid w:val="001B779E"/>
    <w:rsid w:val="001E1764"/>
    <w:rsid w:val="001F04A9"/>
    <w:rsid w:val="0020224B"/>
    <w:rsid w:val="00271D08"/>
    <w:rsid w:val="002C4969"/>
    <w:rsid w:val="003020CF"/>
    <w:rsid w:val="00303C82"/>
    <w:rsid w:val="00303C9E"/>
    <w:rsid w:val="00347495"/>
    <w:rsid w:val="00361A7A"/>
    <w:rsid w:val="00386601"/>
    <w:rsid w:val="003A2A18"/>
    <w:rsid w:val="003D4CDE"/>
    <w:rsid w:val="00410776"/>
    <w:rsid w:val="004D3CE9"/>
    <w:rsid w:val="004D6D0C"/>
    <w:rsid w:val="004F73B5"/>
    <w:rsid w:val="00507FB0"/>
    <w:rsid w:val="00512A5A"/>
    <w:rsid w:val="00515400"/>
    <w:rsid w:val="0057398F"/>
    <w:rsid w:val="00583FFB"/>
    <w:rsid w:val="005A1AB2"/>
    <w:rsid w:val="005A5B04"/>
    <w:rsid w:val="005D0C89"/>
    <w:rsid w:val="005E0E21"/>
    <w:rsid w:val="005F2E15"/>
    <w:rsid w:val="006349A2"/>
    <w:rsid w:val="00663904"/>
    <w:rsid w:val="00691A7A"/>
    <w:rsid w:val="006A5C46"/>
    <w:rsid w:val="006B1C84"/>
    <w:rsid w:val="006C0325"/>
    <w:rsid w:val="006D7E31"/>
    <w:rsid w:val="0072488A"/>
    <w:rsid w:val="00732C04"/>
    <w:rsid w:val="00767C44"/>
    <w:rsid w:val="007D69CE"/>
    <w:rsid w:val="007F0473"/>
    <w:rsid w:val="007F0E30"/>
    <w:rsid w:val="0080099F"/>
    <w:rsid w:val="00850AE5"/>
    <w:rsid w:val="0088473E"/>
    <w:rsid w:val="008A0D4D"/>
    <w:rsid w:val="008B1D38"/>
    <w:rsid w:val="008D2E32"/>
    <w:rsid w:val="00902BFE"/>
    <w:rsid w:val="009116B3"/>
    <w:rsid w:val="00933348"/>
    <w:rsid w:val="00946508"/>
    <w:rsid w:val="0095780C"/>
    <w:rsid w:val="00994582"/>
    <w:rsid w:val="009B573D"/>
    <w:rsid w:val="009C563E"/>
    <w:rsid w:val="009D03AC"/>
    <w:rsid w:val="00A04F5F"/>
    <w:rsid w:val="00A30B96"/>
    <w:rsid w:val="00A42CFB"/>
    <w:rsid w:val="00A60592"/>
    <w:rsid w:val="00B42036"/>
    <w:rsid w:val="00B54922"/>
    <w:rsid w:val="00B77372"/>
    <w:rsid w:val="00BB64F1"/>
    <w:rsid w:val="00BC27CF"/>
    <w:rsid w:val="00BC293A"/>
    <w:rsid w:val="00C005B6"/>
    <w:rsid w:val="00C2200B"/>
    <w:rsid w:val="00C26948"/>
    <w:rsid w:val="00C92650"/>
    <w:rsid w:val="00CF47E1"/>
    <w:rsid w:val="00D20445"/>
    <w:rsid w:val="00D44EB6"/>
    <w:rsid w:val="00D457D8"/>
    <w:rsid w:val="00D5259D"/>
    <w:rsid w:val="00D71354"/>
    <w:rsid w:val="00D75DB9"/>
    <w:rsid w:val="00D87274"/>
    <w:rsid w:val="00DF20FF"/>
    <w:rsid w:val="00E13975"/>
    <w:rsid w:val="00E17158"/>
    <w:rsid w:val="00E918F4"/>
    <w:rsid w:val="00E94B83"/>
    <w:rsid w:val="00EA7226"/>
    <w:rsid w:val="00EC16D2"/>
    <w:rsid w:val="00EF2EE4"/>
    <w:rsid w:val="00EF7659"/>
    <w:rsid w:val="00F36869"/>
    <w:rsid w:val="00F511D1"/>
    <w:rsid w:val="00FE3382"/>
    <w:rsid w:val="37657987"/>
    <w:rsid w:val="3AFE17C4"/>
    <w:rsid w:val="3EA4D992"/>
    <w:rsid w:val="3FCF14A0"/>
    <w:rsid w:val="3FF778E4"/>
    <w:rsid w:val="5B3C37C0"/>
    <w:rsid w:val="5DDF43E7"/>
    <w:rsid w:val="5FA70B99"/>
    <w:rsid w:val="767CAB20"/>
    <w:rsid w:val="77BFF99C"/>
    <w:rsid w:val="7BBD8CCE"/>
    <w:rsid w:val="7D6F71EC"/>
    <w:rsid w:val="7E9037A6"/>
    <w:rsid w:val="7F7AE358"/>
    <w:rsid w:val="BDFF3DF0"/>
    <w:rsid w:val="BE7BEB2E"/>
    <w:rsid w:val="CFBB787D"/>
    <w:rsid w:val="DEF71C0D"/>
    <w:rsid w:val="DF779953"/>
    <w:rsid w:val="EDF7A907"/>
    <w:rsid w:val="EE72E882"/>
    <w:rsid w:val="EFAF79E3"/>
    <w:rsid w:val="FD77AF3F"/>
    <w:rsid w:val="FE5F3D77"/>
    <w:rsid w:val="FF1F00E2"/>
    <w:rsid w:val="FF77DE61"/>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宋体" w:hAnsi="宋体" w:eastAsia="宋体" w:cs="Times New Roman"/>
      <w:color w:val="000000"/>
      <w:kern w:val="2"/>
      <w:sz w:val="21"/>
      <w:szCs w:val="21"/>
      <w:lang w:val="en-US" w:eastAsia="zh-CN" w:bidi="ar-SA"/>
    </w:rPr>
  </w:style>
  <w:style w:type="paragraph" w:styleId="2">
    <w:name w:val="heading 1"/>
    <w:basedOn w:val="1"/>
    <w:next w:val="1"/>
    <w:link w:val="17"/>
    <w:qFormat/>
    <w:uiPriority w:val="9"/>
    <w:pPr>
      <w:keepNext/>
      <w:keepLines/>
      <w:spacing w:before="340" w:after="330" w:line="578" w:lineRule="auto"/>
      <w:outlineLvl w:val="0"/>
    </w:pPr>
    <w:rPr>
      <w:b/>
      <w:bCs/>
      <w:kern w:val="44"/>
      <w:sz w:val="44"/>
      <w:szCs w:val="44"/>
    </w:rPr>
  </w:style>
  <w:style w:type="paragraph" w:styleId="3">
    <w:name w:val="heading 2"/>
    <w:basedOn w:val="1"/>
    <w:next w:val="1"/>
    <w:link w:val="22"/>
    <w:semiHidden/>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character" w:default="1" w:styleId="12">
    <w:name w:val="Default Paragraph Font"/>
    <w:semiHidden/>
    <w:unhideWhenUsed/>
    <w:qFormat/>
    <w:uiPriority w:val="1"/>
  </w:style>
  <w:style w:type="table" w:default="1" w:styleId="11">
    <w:name w:val="Normal Table"/>
    <w:semiHidden/>
    <w:unhideWhenUsed/>
    <w:qFormat/>
    <w:uiPriority w:val="99"/>
    <w:tblPr>
      <w:tblCellMar>
        <w:top w:w="0" w:type="dxa"/>
        <w:left w:w="108" w:type="dxa"/>
        <w:bottom w:w="0" w:type="dxa"/>
        <w:right w:w="108" w:type="dxa"/>
      </w:tblCellMar>
    </w:tblPr>
  </w:style>
  <w:style w:type="paragraph" w:styleId="4">
    <w:name w:val="toc 3"/>
    <w:basedOn w:val="1"/>
    <w:next w:val="1"/>
    <w:unhideWhenUsed/>
    <w:qFormat/>
    <w:uiPriority w:val="39"/>
    <w:pPr>
      <w:widowControl/>
      <w:spacing w:after="100" w:line="259" w:lineRule="auto"/>
      <w:ind w:left="440"/>
      <w:jc w:val="left"/>
    </w:pPr>
    <w:rPr>
      <w:rFonts w:asciiTheme="minorHAnsi" w:hAnsiTheme="minorHAnsi" w:eastAsiaTheme="minorEastAsia"/>
      <w:color w:val="auto"/>
      <w:kern w:val="0"/>
      <w:sz w:val="22"/>
      <w:szCs w:val="22"/>
    </w:rPr>
  </w:style>
  <w:style w:type="paragraph" w:styleId="5">
    <w:name w:val="Date"/>
    <w:basedOn w:val="1"/>
    <w:next w:val="1"/>
    <w:link w:val="14"/>
    <w:semiHidden/>
    <w:unhideWhenUsed/>
    <w:qFormat/>
    <w:uiPriority w:val="99"/>
    <w:pPr>
      <w:ind w:left="100" w:leftChars="2500"/>
    </w:pPr>
  </w:style>
  <w:style w:type="paragraph" w:styleId="6">
    <w:name w:val="Balloon Text"/>
    <w:basedOn w:val="1"/>
    <w:link w:val="23"/>
    <w:semiHidden/>
    <w:unhideWhenUsed/>
    <w:qFormat/>
    <w:uiPriority w:val="99"/>
    <w:rPr>
      <w:sz w:val="18"/>
      <w:szCs w:val="18"/>
    </w:rPr>
  </w:style>
  <w:style w:type="paragraph" w:styleId="7">
    <w:name w:val="footer"/>
    <w:basedOn w:val="1"/>
    <w:link w:val="16"/>
    <w:unhideWhenUsed/>
    <w:qFormat/>
    <w:uiPriority w:val="99"/>
    <w:pPr>
      <w:tabs>
        <w:tab w:val="center" w:pos="4153"/>
        <w:tab w:val="right" w:pos="8306"/>
      </w:tabs>
      <w:snapToGrid w:val="0"/>
      <w:jc w:val="left"/>
    </w:pPr>
    <w:rPr>
      <w:sz w:val="18"/>
      <w:szCs w:val="18"/>
    </w:rPr>
  </w:style>
  <w:style w:type="paragraph" w:styleId="8">
    <w:name w:val="header"/>
    <w:basedOn w:val="1"/>
    <w:link w:val="15"/>
    <w:unhideWhenUsed/>
    <w:qFormat/>
    <w:uiPriority w:val="99"/>
    <w:pPr>
      <w:pBdr>
        <w:bottom w:val="single" w:color="auto" w:sz="6" w:space="1"/>
      </w:pBdr>
      <w:tabs>
        <w:tab w:val="center" w:pos="4153"/>
        <w:tab w:val="right" w:pos="8306"/>
      </w:tabs>
      <w:snapToGrid w:val="0"/>
      <w:jc w:val="center"/>
    </w:pPr>
    <w:rPr>
      <w:sz w:val="18"/>
      <w:szCs w:val="18"/>
    </w:rPr>
  </w:style>
  <w:style w:type="paragraph" w:styleId="9">
    <w:name w:val="toc 1"/>
    <w:basedOn w:val="1"/>
    <w:next w:val="1"/>
    <w:qFormat/>
    <w:uiPriority w:val="39"/>
    <w:pPr>
      <w:tabs>
        <w:tab w:val="right" w:leader="dot" w:pos="8296"/>
      </w:tabs>
      <w:spacing w:before="120" w:after="120"/>
      <w:jc w:val="center"/>
    </w:pPr>
    <w:rPr>
      <w:rFonts w:ascii="Times New Roman" w:hAnsi="Times New Roman"/>
      <w:b/>
      <w:bCs/>
      <w:caps/>
      <w:color w:val="000080"/>
      <w:sz w:val="44"/>
      <w:szCs w:val="44"/>
    </w:rPr>
  </w:style>
  <w:style w:type="paragraph" w:styleId="10">
    <w:name w:val="toc 2"/>
    <w:basedOn w:val="1"/>
    <w:next w:val="1"/>
    <w:unhideWhenUsed/>
    <w:qFormat/>
    <w:uiPriority w:val="39"/>
    <w:pPr>
      <w:widowControl/>
      <w:spacing w:after="100" w:line="259" w:lineRule="auto"/>
      <w:ind w:left="220"/>
      <w:jc w:val="left"/>
    </w:pPr>
    <w:rPr>
      <w:rFonts w:asciiTheme="minorHAnsi" w:hAnsiTheme="minorHAnsi" w:eastAsiaTheme="minorEastAsia"/>
      <w:color w:val="auto"/>
      <w:kern w:val="0"/>
      <w:sz w:val="22"/>
      <w:szCs w:val="22"/>
    </w:rPr>
  </w:style>
  <w:style w:type="character" w:styleId="13">
    <w:name w:val="Hyperlink"/>
    <w:basedOn w:val="12"/>
    <w:unhideWhenUsed/>
    <w:qFormat/>
    <w:uiPriority w:val="99"/>
    <w:rPr>
      <w:color w:val="0563C1" w:themeColor="hyperlink"/>
      <w:u w:val="single"/>
    </w:rPr>
  </w:style>
  <w:style w:type="character" w:customStyle="1" w:styleId="14">
    <w:name w:val="日期 Char"/>
    <w:basedOn w:val="12"/>
    <w:link w:val="5"/>
    <w:semiHidden/>
    <w:qFormat/>
    <w:uiPriority w:val="99"/>
    <w:rPr>
      <w:rFonts w:ascii="宋体" w:hAnsi="宋体" w:eastAsia="宋体" w:cs="Times New Roman"/>
      <w:color w:val="000000"/>
      <w:szCs w:val="21"/>
    </w:rPr>
  </w:style>
  <w:style w:type="character" w:customStyle="1" w:styleId="15">
    <w:name w:val="页眉 Char"/>
    <w:basedOn w:val="12"/>
    <w:link w:val="8"/>
    <w:qFormat/>
    <w:uiPriority w:val="99"/>
    <w:rPr>
      <w:rFonts w:ascii="宋体" w:hAnsi="宋体" w:eastAsia="宋体" w:cs="Times New Roman"/>
      <w:color w:val="000000"/>
      <w:sz w:val="18"/>
      <w:szCs w:val="18"/>
    </w:rPr>
  </w:style>
  <w:style w:type="character" w:customStyle="1" w:styleId="16">
    <w:name w:val="页脚 Char"/>
    <w:basedOn w:val="12"/>
    <w:link w:val="7"/>
    <w:qFormat/>
    <w:uiPriority w:val="99"/>
    <w:rPr>
      <w:rFonts w:ascii="宋体" w:hAnsi="宋体" w:eastAsia="宋体" w:cs="Times New Roman"/>
      <w:color w:val="000000"/>
      <w:sz w:val="18"/>
      <w:szCs w:val="18"/>
    </w:rPr>
  </w:style>
  <w:style w:type="character" w:customStyle="1" w:styleId="17">
    <w:name w:val="标题 1 Char"/>
    <w:basedOn w:val="12"/>
    <w:link w:val="2"/>
    <w:qFormat/>
    <w:uiPriority w:val="9"/>
    <w:rPr>
      <w:rFonts w:ascii="宋体" w:hAnsi="宋体" w:eastAsia="宋体" w:cs="Times New Roman"/>
      <w:b/>
      <w:bCs/>
      <w:color w:val="000000"/>
      <w:kern w:val="44"/>
      <w:sz w:val="44"/>
      <w:szCs w:val="44"/>
    </w:rPr>
  </w:style>
  <w:style w:type="paragraph" w:customStyle="1" w:styleId="18">
    <w:name w:val="TOC Heading"/>
    <w:basedOn w:val="2"/>
    <w:next w:val="1"/>
    <w:unhideWhenUsed/>
    <w:qFormat/>
    <w:uiPriority w:val="39"/>
    <w:pPr>
      <w:widowControl/>
      <w:spacing w:before="240" w:after="0" w:line="259" w:lineRule="auto"/>
      <w:jc w:val="left"/>
      <w:outlineLvl w:val="9"/>
    </w:pPr>
    <w:rPr>
      <w:rFonts w:asciiTheme="majorHAnsi" w:hAnsiTheme="majorHAnsi" w:eastAsiaTheme="majorEastAsia" w:cstheme="majorBidi"/>
      <w:b w:val="0"/>
      <w:bCs w:val="0"/>
      <w:color w:val="2F5496" w:themeColor="accent1" w:themeShade="BF"/>
      <w:kern w:val="0"/>
      <w:sz w:val="32"/>
      <w:szCs w:val="32"/>
    </w:rPr>
  </w:style>
  <w:style w:type="paragraph" w:customStyle="1" w:styleId="19">
    <w:name w:val="_Style 16"/>
    <w:basedOn w:val="1"/>
    <w:next w:val="1"/>
    <w:qFormat/>
    <w:uiPriority w:val="0"/>
    <w:pPr>
      <w:spacing w:before="120" w:after="120"/>
    </w:pPr>
    <w:rPr>
      <w:rFonts w:ascii="Times New Roman" w:hAnsi="Times New Roman"/>
      <w:b/>
      <w:bCs/>
      <w:caps/>
      <w:color w:val="000080"/>
      <w:sz w:val="52"/>
      <w:szCs w:val="52"/>
    </w:rPr>
  </w:style>
  <w:style w:type="paragraph" w:customStyle="1" w:styleId="20">
    <w:name w:val="样式1"/>
    <w:basedOn w:val="2"/>
    <w:qFormat/>
    <w:uiPriority w:val="0"/>
    <w:pPr>
      <w:widowControl/>
      <w:spacing w:before="0" w:after="0" w:line="240" w:lineRule="auto"/>
      <w:ind w:firstLine="560" w:firstLineChars="200"/>
    </w:pPr>
    <w:rPr>
      <w:rFonts w:ascii="Dotum"/>
      <w:b w:val="0"/>
      <w:kern w:val="28"/>
      <w:sz w:val="28"/>
      <w:szCs w:val="28"/>
    </w:rPr>
  </w:style>
  <w:style w:type="character" w:customStyle="1" w:styleId="21">
    <w:name w:val="apple-style-span"/>
    <w:basedOn w:val="12"/>
    <w:qFormat/>
    <w:uiPriority w:val="0"/>
  </w:style>
  <w:style w:type="character" w:customStyle="1" w:styleId="22">
    <w:name w:val="标题 2 Char"/>
    <w:basedOn w:val="12"/>
    <w:link w:val="3"/>
    <w:semiHidden/>
    <w:qFormat/>
    <w:uiPriority w:val="9"/>
    <w:rPr>
      <w:rFonts w:asciiTheme="majorHAnsi" w:hAnsiTheme="majorHAnsi" w:eastAsiaTheme="majorEastAsia" w:cstheme="majorBidi"/>
      <w:b/>
      <w:bCs/>
      <w:color w:val="000000"/>
      <w:sz w:val="32"/>
      <w:szCs w:val="32"/>
    </w:rPr>
  </w:style>
  <w:style w:type="character" w:customStyle="1" w:styleId="23">
    <w:name w:val="批注框文本 Char"/>
    <w:basedOn w:val="12"/>
    <w:link w:val="6"/>
    <w:semiHidden/>
    <w:qFormat/>
    <w:uiPriority w:val="99"/>
    <w:rPr>
      <w:rFonts w:ascii="宋体" w:hAnsi="宋体" w:eastAsia="宋体" w:cs="Times New Roman"/>
      <w:color w:val="000000"/>
      <w:sz w:val="18"/>
      <w:szCs w:val="18"/>
    </w:rPr>
  </w:style>
  <w:style w:type="paragraph" w:styleId="24">
    <w:name w:val="List Paragraph"/>
    <w:basedOn w:val="1"/>
    <w:qFormat/>
    <w:uiPriority w:val="34"/>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1.jpeg"/><Relationship Id="rId8" Type="http://schemas.openxmlformats.org/officeDocument/2006/relationships/chart" Target="charts/chart2.xml"/><Relationship Id="rId7" Type="http://schemas.openxmlformats.org/officeDocument/2006/relationships/chart" Target="charts/chart1.xml"/><Relationship Id="rId6" Type="http://schemas.openxmlformats.org/officeDocument/2006/relationships/theme" Target="theme/theme1.xml"/><Relationship Id="rId5" Type="http://schemas.openxmlformats.org/officeDocument/2006/relationships/footer" Target="footer2.xml"/><Relationship Id="rId4" Type="http://schemas.openxmlformats.org/officeDocument/2006/relationships/header" Target="header1.xml"/><Relationship Id="rId3" Type="http://schemas.openxmlformats.org/officeDocument/2006/relationships/footer" Target="footer1.xml"/><Relationship Id="rId21" Type="http://schemas.openxmlformats.org/officeDocument/2006/relationships/fontTable" Target="fontTable.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image" Target="media/image5.emf"/><Relationship Id="rId18" Type="http://schemas.openxmlformats.org/officeDocument/2006/relationships/chart" Target="charts/chart8.xml"/><Relationship Id="rId17" Type="http://schemas.openxmlformats.org/officeDocument/2006/relationships/chart" Target="charts/chart7.xml"/><Relationship Id="rId16" Type="http://schemas.openxmlformats.org/officeDocument/2006/relationships/chart" Target="charts/chart6.xml"/><Relationship Id="rId15" Type="http://schemas.openxmlformats.org/officeDocument/2006/relationships/chart" Target="charts/chart5.xml"/><Relationship Id="rId14" Type="http://schemas.openxmlformats.org/officeDocument/2006/relationships/chart" Target="charts/chart4.xml"/><Relationship Id="rId13" Type="http://schemas.openxmlformats.org/officeDocument/2006/relationships/image" Target="media/image4.emf"/><Relationship Id="rId12" Type="http://schemas.openxmlformats.org/officeDocument/2006/relationships/chart" Target="charts/chart3.xml"/><Relationship Id="rId11" Type="http://schemas.openxmlformats.org/officeDocument/2006/relationships/image" Target="media/image3.jpeg"/><Relationship Id="rId10" Type="http://schemas.openxmlformats.org/officeDocument/2006/relationships/image" Target="media/image2.jpeg"/><Relationship Id="rId1" Type="http://schemas.openxmlformats.org/officeDocument/2006/relationships/styles" Target="styles.xml"/></Relationships>
</file>

<file path=word/charts/_rels/chart1.xml.rels><?xml version="1.0" encoding="UTF-8" standalone="yes"?>
<Relationships xmlns="http://schemas.openxmlformats.org/package/2006/relationships"><Relationship Id="rId1" Type="http://schemas.openxmlformats.org/officeDocument/2006/relationships/oleObject" Target="file:///C:\Users\Administrator\Desktop\2020&#24180;&#20844;&#25253;\&#24037;&#20316;&#31807;1.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Administrator\Desktop\2020&#24180;&#20844;&#25253;\&#24037;&#20316;&#31807;1.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Administrator\Desktop\2020&#24180;&#20844;&#25253;\&#24037;&#20316;&#31807;1.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Administrator\Desktop\2020&#24180;&#20844;&#25253;\&#24037;&#20316;&#31807;1.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Administrator\Desktop\2020&#24180;&#20844;&#25253;\&#24037;&#20316;&#31807;1.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Users\Administrator\Desktop\2020&#24180;&#20844;&#25253;\&#24037;&#20316;&#31807;1.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Users\Administrator\Desktop\2020&#24180;&#20844;&#25253;\&#24037;&#20316;&#31807;1.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C:\Users\Administrator\Desktop\2020&#24180;&#20844;&#25253;\&#24037;&#20316;&#31807;1.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false"/>
  <c:lang val="zh-CN"/>
  <c:roundedCorners val="false"/>
  <mc:AlternateContent xmlns:mc="http://schemas.openxmlformats.org/markup-compatibility/2006">
    <mc:Choice xmlns:c14="http://schemas.microsoft.com/office/drawing/2007/8/2/chart" Requires="c14">
      <c14:style val="102"/>
    </mc:Choice>
    <mc:Fallback>
      <c:style val="2"/>
    </mc:Fallback>
  </mc:AlternateContent>
  <c:chart>
    <c:autoTitleDeleted val="true"/>
    <c:plotArea>
      <c:layout>
        <c:manualLayout>
          <c:layoutTarget val="inner"/>
          <c:xMode val="edge"/>
          <c:yMode val="edge"/>
          <c:x val="0.101212038696892"/>
          <c:y val="0.130104257801108"/>
          <c:w val="0.852708252966939"/>
          <c:h val="0.690238772236804"/>
        </c:manualLayout>
      </c:layout>
      <c:barChart>
        <c:barDir val="col"/>
        <c:grouping val="clustered"/>
        <c:varyColors val="false"/>
        <c:ser>
          <c:idx val="0"/>
          <c:order val="0"/>
          <c:tx>
            <c:strRef>
              <c:f>2020年</c:f>
              <c:strCache>
                <c:ptCount val="1"/>
                <c:pt idx="0">
                  <c:v>2020年</c:v>
                </c:pt>
              </c:strCache>
            </c:strRef>
          </c:tx>
          <c:spPr>
            <a:solidFill>
              <a:schemeClr val="accent4">
                <a:lumMod val="60000"/>
                <a:lumOff val="40000"/>
              </a:schemeClr>
            </a:solidFill>
          </c:spPr>
          <c:invertIfNegative val="false"/>
          <c:dLbls>
            <c:delete val="true"/>
          </c:dLbls>
          <c:cat>
            <c:strRef>
              <c:f>Sheet1!$D$16:$D$23</c:f>
              <c:strCache>
                <c:ptCount val="8"/>
                <c:pt idx="0">
                  <c:v>吉首市</c:v>
                </c:pt>
                <c:pt idx="1">
                  <c:v>泸溪县</c:v>
                </c:pt>
                <c:pt idx="2">
                  <c:v>凤凰县</c:v>
                </c:pt>
                <c:pt idx="3">
                  <c:v>花垣县</c:v>
                </c:pt>
                <c:pt idx="4">
                  <c:v>保靖县</c:v>
                </c:pt>
                <c:pt idx="5">
                  <c:v>古丈县</c:v>
                </c:pt>
                <c:pt idx="6">
                  <c:v>永顺县</c:v>
                </c:pt>
                <c:pt idx="7">
                  <c:v>龙山县</c:v>
                </c:pt>
              </c:strCache>
            </c:strRef>
          </c:cat>
          <c:val>
            <c:numRef>
              <c:f>Sheet1!$G$16:$G$23</c:f>
              <c:numCache>
                <c:formatCode>General</c:formatCode>
                <c:ptCount val="8"/>
                <c:pt idx="0">
                  <c:v>20.89</c:v>
                </c:pt>
                <c:pt idx="1">
                  <c:v>31.07</c:v>
                </c:pt>
                <c:pt idx="2">
                  <c:v>30.52</c:v>
                </c:pt>
                <c:pt idx="3">
                  <c:v>21.37</c:v>
                </c:pt>
                <c:pt idx="4">
                  <c:v>34.86</c:v>
                </c:pt>
                <c:pt idx="5">
                  <c:v>25.03</c:v>
                </c:pt>
                <c:pt idx="6">
                  <c:v>81.07</c:v>
                </c:pt>
                <c:pt idx="7">
                  <c:v>65.34</c:v>
                </c:pt>
              </c:numCache>
            </c:numRef>
          </c:val>
        </c:ser>
        <c:ser>
          <c:idx val="1"/>
          <c:order val="1"/>
          <c:tx>
            <c:strRef>
              <c:f>2019年</c:f>
              <c:strCache>
                <c:ptCount val="1"/>
                <c:pt idx="0">
                  <c:v>2019年</c:v>
                </c:pt>
              </c:strCache>
            </c:strRef>
          </c:tx>
          <c:spPr>
            <a:solidFill>
              <a:srgbClr val="00B0F0"/>
            </a:solidFill>
          </c:spPr>
          <c:invertIfNegative val="false"/>
          <c:dLbls>
            <c:delete val="true"/>
          </c:dLbls>
          <c:cat>
            <c:strRef>
              <c:f>Sheet1!$D$16:$D$23</c:f>
              <c:strCache>
                <c:ptCount val="8"/>
                <c:pt idx="0">
                  <c:v>吉首市</c:v>
                </c:pt>
                <c:pt idx="1">
                  <c:v>泸溪县</c:v>
                </c:pt>
                <c:pt idx="2">
                  <c:v>凤凰县</c:v>
                </c:pt>
                <c:pt idx="3">
                  <c:v>花垣县</c:v>
                </c:pt>
                <c:pt idx="4">
                  <c:v>保靖县</c:v>
                </c:pt>
                <c:pt idx="5">
                  <c:v>古丈县</c:v>
                </c:pt>
                <c:pt idx="6">
                  <c:v>永顺县</c:v>
                </c:pt>
                <c:pt idx="7">
                  <c:v>龙山县</c:v>
                </c:pt>
              </c:strCache>
            </c:strRef>
          </c:cat>
          <c:val>
            <c:numRef>
              <c:f>Sheet1!$H$16:$H$23</c:f>
              <c:numCache>
                <c:formatCode>General</c:formatCode>
                <c:ptCount val="8"/>
                <c:pt idx="0">
                  <c:v>15.2</c:v>
                </c:pt>
                <c:pt idx="1">
                  <c:v>20.09</c:v>
                </c:pt>
                <c:pt idx="2">
                  <c:v>23.72</c:v>
                </c:pt>
                <c:pt idx="3">
                  <c:v>14.27</c:v>
                </c:pt>
                <c:pt idx="4">
                  <c:v>20.92</c:v>
                </c:pt>
                <c:pt idx="5">
                  <c:v>17.8</c:v>
                </c:pt>
                <c:pt idx="6">
                  <c:v>50.16</c:v>
                </c:pt>
                <c:pt idx="7">
                  <c:v>36.45</c:v>
                </c:pt>
              </c:numCache>
            </c:numRef>
          </c:val>
        </c:ser>
        <c:ser>
          <c:idx val="2"/>
          <c:order val="2"/>
          <c:tx>
            <c:strRef>
              <c:f>多年平均</c:f>
              <c:strCache>
                <c:ptCount val="1"/>
                <c:pt idx="0">
                  <c:v>多年平均</c:v>
                </c:pt>
              </c:strCache>
            </c:strRef>
          </c:tx>
          <c:spPr>
            <a:solidFill>
              <a:schemeClr val="accent6">
                <a:lumMod val="60000"/>
                <a:lumOff val="40000"/>
              </a:schemeClr>
            </a:solidFill>
          </c:spPr>
          <c:invertIfNegative val="false"/>
          <c:dLbls>
            <c:delete val="true"/>
          </c:dLbls>
          <c:cat>
            <c:strRef>
              <c:f>Sheet1!$D$16:$D$23</c:f>
              <c:strCache>
                <c:ptCount val="8"/>
                <c:pt idx="0">
                  <c:v>吉首市</c:v>
                </c:pt>
                <c:pt idx="1">
                  <c:v>泸溪县</c:v>
                </c:pt>
                <c:pt idx="2">
                  <c:v>凤凰县</c:v>
                </c:pt>
                <c:pt idx="3">
                  <c:v>花垣县</c:v>
                </c:pt>
                <c:pt idx="4">
                  <c:v>保靖县</c:v>
                </c:pt>
                <c:pt idx="5">
                  <c:v>古丈县</c:v>
                </c:pt>
                <c:pt idx="6">
                  <c:v>永顺县</c:v>
                </c:pt>
                <c:pt idx="7">
                  <c:v>龙山县</c:v>
                </c:pt>
              </c:strCache>
            </c:strRef>
          </c:cat>
          <c:val>
            <c:numRef>
              <c:f>Sheet1!$I$16:$I$23</c:f>
              <c:numCache>
                <c:formatCode>General</c:formatCode>
                <c:ptCount val="8"/>
                <c:pt idx="0">
                  <c:v>15.25</c:v>
                </c:pt>
                <c:pt idx="1">
                  <c:v>21.28</c:v>
                </c:pt>
                <c:pt idx="2">
                  <c:v>24.22</c:v>
                </c:pt>
                <c:pt idx="3">
                  <c:v>15.81</c:v>
                </c:pt>
                <c:pt idx="4">
                  <c:v>23.74</c:v>
                </c:pt>
                <c:pt idx="5">
                  <c:v>18.21</c:v>
                </c:pt>
                <c:pt idx="6">
                  <c:v>55.36</c:v>
                </c:pt>
                <c:pt idx="7">
                  <c:v>45.52</c:v>
                </c:pt>
              </c:numCache>
            </c:numRef>
          </c:val>
        </c:ser>
        <c:dLbls>
          <c:showLegendKey val="false"/>
          <c:showVal val="false"/>
          <c:showCatName val="false"/>
          <c:showSerName val="false"/>
          <c:showPercent val="false"/>
          <c:showBubbleSize val="false"/>
        </c:dLbls>
        <c:gapWidth val="150"/>
        <c:axId val="269689984"/>
        <c:axId val="269691904"/>
      </c:barChart>
      <c:catAx>
        <c:axId val="269689984"/>
        <c:scaling>
          <c:orientation val="minMax"/>
        </c:scaling>
        <c:delete val="false"/>
        <c:axPos val="b"/>
        <c:title>
          <c:tx>
            <c:rich>
              <a:bodyPr rot="0" spcFirstLastPara="0" vertOverflow="ellipsis" vert="horz" wrap="square" anchor="ctr" anchorCtr="true"/>
              <a:lstStyle/>
              <a:p>
                <a:pPr>
                  <a:defRPr lang="zh-CN" sz="1000" b="1" i="0" u="none" strike="noStrike" kern="1200" baseline="0">
                    <a:solidFill>
                      <a:schemeClr val="tx1"/>
                    </a:solidFill>
                    <a:latin typeface="+mn-lt"/>
                    <a:ea typeface="+mn-ea"/>
                    <a:cs typeface="+mn-cs"/>
                  </a:defRPr>
                </a:pPr>
                <a:r>
                  <a:rPr lang="zh-CN" altLang="en-US"/>
                  <a:t>降水量：亿立方米</a:t>
                </a:r>
                <a:endParaRPr lang="zh-CN" altLang="en-US"/>
              </a:p>
            </c:rich>
          </c:tx>
          <c:layout>
            <c:manualLayout>
              <c:xMode val="edge"/>
              <c:yMode val="edge"/>
              <c:x val="0.0883978911857926"/>
              <c:y val="0.0736063721201517"/>
            </c:manualLayout>
          </c:layout>
          <c:overlay val="false"/>
        </c:title>
        <c:majorTickMark val="none"/>
        <c:minorTickMark val="none"/>
        <c:tickLblPos val="nextTo"/>
        <c:txPr>
          <a:bodyPr rot="-60000000" spcFirstLastPara="0" vertOverflow="ellipsis" vert="horz" wrap="square" anchor="ctr" anchorCtr="true"/>
          <a:lstStyle/>
          <a:p>
            <a:pPr>
              <a:defRPr lang="zh-CN" sz="1000" b="0" i="0" u="none" strike="noStrike" kern="1200" baseline="0">
                <a:solidFill>
                  <a:schemeClr val="tx1"/>
                </a:solidFill>
                <a:latin typeface="+mn-lt"/>
                <a:ea typeface="+mn-ea"/>
                <a:cs typeface="+mn-cs"/>
              </a:defRPr>
            </a:pPr>
          </a:p>
        </c:txPr>
        <c:crossAx val="269691904"/>
        <c:crosses val="autoZero"/>
        <c:auto val="true"/>
        <c:lblAlgn val="ctr"/>
        <c:lblOffset val="100"/>
        <c:noMultiLvlLbl val="false"/>
      </c:catAx>
      <c:valAx>
        <c:axId val="269691904"/>
        <c:scaling>
          <c:orientation val="minMax"/>
        </c:scaling>
        <c:delete val="false"/>
        <c:axPos val="l"/>
        <c:numFmt formatCode="General" sourceLinked="true"/>
        <c:majorTickMark val="out"/>
        <c:minorTickMark val="none"/>
        <c:tickLblPos val="nextTo"/>
        <c:txPr>
          <a:bodyPr rot="-60000000" spcFirstLastPara="0" vertOverflow="ellipsis" vert="horz" wrap="square" anchor="ctr" anchorCtr="true"/>
          <a:lstStyle/>
          <a:p>
            <a:pPr>
              <a:defRPr lang="zh-CN" sz="1000" b="0" i="0" u="none" strike="noStrike" kern="1200" baseline="0">
                <a:solidFill>
                  <a:schemeClr val="tx1"/>
                </a:solidFill>
                <a:latin typeface="+mn-lt"/>
                <a:ea typeface="+mn-ea"/>
                <a:cs typeface="+mn-cs"/>
              </a:defRPr>
            </a:pPr>
          </a:p>
        </c:txPr>
        <c:crossAx val="269689984"/>
        <c:crosses val="autoZero"/>
        <c:crossBetween val="between"/>
      </c:valAx>
      <c:spPr>
        <a:solidFill>
          <a:schemeClr val="bg1"/>
        </a:solidFill>
        <a:ln>
          <a:noFill/>
        </a:ln>
        <a:effectLst/>
      </c:spPr>
    </c:plotArea>
    <c:legend>
      <c:legendPos val="r"/>
      <c:layout>
        <c:manualLayout>
          <c:xMode val="edge"/>
          <c:yMode val="edge"/>
          <c:x val="0.500510109147016"/>
          <c:y val="0.0734981044036164"/>
          <c:w val="0.426483166549428"/>
          <c:h val="0.103003426655001"/>
        </c:manualLayout>
      </c:layout>
      <c:overlay val="false"/>
      <c:txPr>
        <a:bodyPr rot="0" spcFirstLastPara="0" vertOverflow="ellipsis" vert="horz" wrap="square" anchor="ctr" anchorCtr="true"/>
        <a:lstStyle/>
        <a:p>
          <a:pPr>
            <a:defRPr lang="zh-CN" sz="1000" b="0" i="0" u="none" strike="noStrike" kern="1200" baseline="0">
              <a:solidFill>
                <a:schemeClr val="tx1"/>
              </a:solidFill>
              <a:latin typeface="+mn-lt"/>
              <a:ea typeface="+mn-ea"/>
              <a:cs typeface="+mn-cs"/>
            </a:defRPr>
          </a:pPr>
        </a:p>
      </c:txPr>
    </c:legend>
    <c:plotVisOnly val="true"/>
    <c:dispBlanksAs val="gap"/>
    <c:showDLblsOverMax val="false"/>
  </c:chart>
  <c:txPr>
    <a:bodyPr/>
    <a:lstStyle/>
    <a:p>
      <a:pPr>
        <a:defRPr lang="zh-CN"/>
      </a:pPr>
    </a:p>
  </c:txPr>
  <c:externalData r:id="rId1">
    <c:autoUpdate val="false"/>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false"/>
  <c:lang val="zh-CN"/>
  <c:roundedCorners val="false"/>
  <mc:AlternateContent xmlns:mc="http://schemas.openxmlformats.org/markup-compatibility/2006">
    <mc:Choice xmlns:c14="http://schemas.microsoft.com/office/drawing/2007/8/2/chart" Requires="c14">
      <c14:style val="102"/>
    </mc:Choice>
    <mc:Fallback>
      <c:style val="2"/>
    </mc:Fallback>
  </mc:AlternateContent>
  <c:chart>
    <c:autoTitleDeleted val="true"/>
    <c:plotArea>
      <c:layout>
        <c:manualLayout>
          <c:layoutTarget val="inner"/>
          <c:xMode val="edge"/>
          <c:yMode val="edge"/>
          <c:x val="0.101212038696892"/>
          <c:y val="0.130104257801108"/>
          <c:w val="0.852708252966939"/>
          <c:h val="0.690238772236804"/>
        </c:manualLayout>
      </c:layout>
      <c:barChart>
        <c:barDir val="col"/>
        <c:grouping val="clustered"/>
        <c:varyColors val="false"/>
        <c:ser>
          <c:idx val="0"/>
          <c:order val="0"/>
          <c:tx>
            <c:strRef>
              <c:f>2020年</c:f>
              <c:strCache>
                <c:ptCount val="1"/>
                <c:pt idx="0">
                  <c:v>2020年</c:v>
                </c:pt>
              </c:strCache>
            </c:strRef>
          </c:tx>
          <c:spPr>
            <a:solidFill>
              <a:schemeClr val="accent4">
                <a:lumMod val="60000"/>
                <a:lumOff val="40000"/>
              </a:schemeClr>
            </a:solidFill>
          </c:spPr>
          <c:invertIfNegative val="false"/>
          <c:dLbls>
            <c:delete val="true"/>
          </c:dLbls>
          <c:cat>
            <c:strRef>
              <c:f>Sheet1!$X$16:$X$18</c:f>
              <c:strCache>
                <c:ptCount val="3"/>
                <c:pt idx="0">
                  <c:v>沅江浦市镇以上</c:v>
                </c:pt>
                <c:pt idx="1">
                  <c:v>沅江浦市镇以下</c:v>
                </c:pt>
                <c:pt idx="2">
                  <c:v>澧水区</c:v>
                </c:pt>
              </c:strCache>
            </c:strRef>
          </c:cat>
          <c:val>
            <c:numRef>
              <c:f>Sheet1!$AA$16:$AA$18</c:f>
              <c:numCache>
                <c:formatCode>General</c:formatCode>
                <c:ptCount val="3"/>
                <c:pt idx="0">
                  <c:v>17.2</c:v>
                </c:pt>
                <c:pt idx="1">
                  <c:v>269.6</c:v>
                </c:pt>
                <c:pt idx="2">
                  <c:v>23.4</c:v>
                </c:pt>
              </c:numCache>
            </c:numRef>
          </c:val>
        </c:ser>
        <c:ser>
          <c:idx val="1"/>
          <c:order val="1"/>
          <c:tx>
            <c:strRef>
              <c:f>2019年</c:f>
              <c:strCache>
                <c:ptCount val="1"/>
                <c:pt idx="0">
                  <c:v>2019年</c:v>
                </c:pt>
              </c:strCache>
            </c:strRef>
          </c:tx>
          <c:spPr>
            <a:solidFill>
              <a:srgbClr val="00B0F0"/>
            </a:solidFill>
          </c:spPr>
          <c:invertIfNegative val="false"/>
          <c:dLbls>
            <c:delete val="true"/>
          </c:dLbls>
          <c:cat>
            <c:strRef>
              <c:f>Sheet1!$X$16:$X$18</c:f>
              <c:strCache>
                <c:ptCount val="3"/>
                <c:pt idx="0">
                  <c:v>沅江浦市镇以上</c:v>
                </c:pt>
                <c:pt idx="1">
                  <c:v>沅江浦市镇以下</c:v>
                </c:pt>
                <c:pt idx="2">
                  <c:v>澧水区</c:v>
                </c:pt>
              </c:strCache>
            </c:strRef>
          </c:cat>
          <c:val>
            <c:numRef>
              <c:f>Sheet1!$AB$16:$AB$18</c:f>
              <c:numCache>
                <c:formatCode>0.0_ </c:formatCode>
                <c:ptCount val="3"/>
                <c:pt idx="0">
                  <c:v>12</c:v>
                </c:pt>
                <c:pt idx="1" c:formatCode="General">
                  <c:v>173.4</c:v>
                </c:pt>
                <c:pt idx="2" c:formatCode="General">
                  <c:v>13.2</c:v>
                </c:pt>
              </c:numCache>
            </c:numRef>
          </c:val>
        </c:ser>
        <c:ser>
          <c:idx val="2"/>
          <c:order val="2"/>
          <c:tx>
            <c:strRef>
              <c:f>多年平均</c:f>
              <c:strCache>
                <c:ptCount val="1"/>
                <c:pt idx="0">
                  <c:v>多年平均</c:v>
                </c:pt>
              </c:strCache>
            </c:strRef>
          </c:tx>
          <c:spPr>
            <a:solidFill>
              <a:schemeClr val="accent6">
                <a:lumMod val="60000"/>
                <a:lumOff val="40000"/>
              </a:schemeClr>
            </a:solidFill>
          </c:spPr>
          <c:invertIfNegative val="false"/>
          <c:dLbls>
            <c:delete val="true"/>
          </c:dLbls>
          <c:cat>
            <c:strRef>
              <c:f>Sheet1!$X$16:$X$18</c:f>
              <c:strCache>
                <c:ptCount val="3"/>
                <c:pt idx="0">
                  <c:v>沅江浦市镇以上</c:v>
                </c:pt>
                <c:pt idx="1">
                  <c:v>沅江浦市镇以下</c:v>
                </c:pt>
                <c:pt idx="2">
                  <c:v>澧水区</c:v>
                </c:pt>
              </c:strCache>
            </c:strRef>
          </c:cat>
          <c:val>
            <c:numRef>
              <c:f>Sheet1!$AC$16:$AC$18</c:f>
              <c:numCache>
                <c:formatCode>General</c:formatCode>
                <c:ptCount val="3"/>
                <c:pt idx="0">
                  <c:v>12.4</c:v>
                </c:pt>
                <c:pt idx="1">
                  <c:v>190.77</c:v>
                </c:pt>
                <c:pt idx="2">
                  <c:v>16.24</c:v>
                </c:pt>
              </c:numCache>
            </c:numRef>
          </c:val>
        </c:ser>
        <c:dLbls>
          <c:showLegendKey val="false"/>
          <c:showVal val="false"/>
          <c:showCatName val="false"/>
          <c:showSerName val="false"/>
          <c:showPercent val="false"/>
          <c:showBubbleSize val="false"/>
        </c:dLbls>
        <c:gapWidth val="150"/>
        <c:axId val="258663168"/>
        <c:axId val="258665088"/>
      </c:barChart>
      <c:catAx>
        <c:axId val="258663168"/>
        <c:scaling>
          <c:orientation val="minMax"/>
        </c:scaling>
        <c:delete val="false"/>
        <c:axPos val="b"/>
        <c:title>
          <c:tx>
            <c:rich>
              <a:bodyPr rot="0" spcFirstLastPara="0" vertOverflow="ellipsis" vert="horz" wrap="square" anchor="ctr" anchorCtr="true"/>
              <a:lstStyle/>
              <a:p>
                <a:pPr>
                  <a:defRPr lang="zh-CN" sz="1000" b="1" i="0" u="none" strike="noStrike" kern="1200" baseline="0">
                    <a:solidFill>
                      <a:schemeClr val="tx1"/>
                    </a:solidFill>
                    <a:latin typeface="+mn-lt"/>
                    <a:ea typeface="+mn-ea"/>
                    <a:cs typeface="+mn-cs"/>
                  </a:defRPr>
                </a:pPr>
                <a:r>
                  <a:rPr lang="zh-CN" altLang="en-US"/>
                  <a:t>降水量：亿立方米</a:t>
                </a:r>
                <a:endParaRPr lang="zh-CN" altLang="en-US"/>
              </a:p>
            </c:rich>
          </c:tx>
          <c:layout>
            <c:manualLayout>
              <c:xMode val="edge"/>
              <c:yMode val="edge"/>
              <c:x val="0.0883978911857927"/>
              <c:y val="0.0736063721201517"/>
            </c:manualLayout>
          </c:layout>
          <c:overlay val="false"/>
        </c:title>
        <c:majorTickMark val="none"/>
        <c:minorTickMark val="none"/>
        <c:tickLblPos val="nextTo"/>
        <c:txPr>
          <a:bodyPr rot="-60000000" spcFirstLastPara="0" vertOverflow="ellipsis" vert="horz" wrap="square" anchor="ctr" anchorCtr="true"/>
          <a:lstStyle/>
          <a:p>
            <a:pPr>
              <a:defRPr lang="zh-CN" sz="1000" b="0" i="0" u="none" strike="noStrike" kern="1200" baseline="0">
                <a:solidFill>
                  <a:schemeClr val="tx1"/>
                </a:solidFill>
                <a:latin typeface="+mn-lt"/>
                <a:ea typeface="+mn-ea"/>
                <a:cs typeface="+mn-cs"/>
              </a:defRPr>
            </a:pPr>
          </a:p>
        </c:txPr>
        <c:crossAx val="258665088"/>
        <c:crosses val="autoZero"/>
        <c:auto val="true"/>
        <c:lblAlgn val="ctr"/>
        <c:lblOffset val="100"/>
        <c:noMultiLvlLbl val="false"/>
      </c:catAx>
      <c:valAx>
        <c:axId val="258665088"/>
        <c:scaling>
          <c:orientation val="minMax"/>
        </c:scaling>
        <c:delete val="false"/>
        <c:axPos val="l"/>
        <c:numFmt formatCode="General" sourceLinked="true"/>
        <c:majorTickMark val="out"/>
        <c:minorTickMark val="none"/>
        <c:tickLblPos val="nextTo"/>
        <c:txPr>
          <a:bodyPr rot="-60000000" spcFirstLastPara="0" vertOverflow="ellipsis" vert="horz" wrap="square" anchor="ctr" anchorCtr="true"/>
          <a:lstStyle/>
          <a:p>
            <a:pPr>
              <a:defRPr lang="zh-CN" sz="1000" b="0" i="0" u="none" strike="noStrike" kern="1200" baseline="0">
                <a:solidFill>
                  <a:schemeClr val="tx1"/>
                </a:solidFill>
                <a:latin typeface="+mn-lt"/>
                <a:ea typeface="+mn-ea"/>
                <a:cs typeface="+mn-cs"/>
              </a:defRPr>
            </a:pPr>
          </a:p>
        </c:txPr>
        <c:crossAx val="258663168"/>
        <c:crosses val="autoZero"/>
        <c:crossBetween val="between"/>
      </c:valAx>
      <c:spPr>
        <a:solidFill>
          <a:schemeClr val="bg1"/>
        </a:solidFill>
        <a:ln>
          <a:noFill/>
        </a:ln>
        <a:effectLst/>
      </c:spPr>
    </c:plotArea>
    <c:legend>
      <c:legendPos val="r"/>
      <c:layout>
        <c:manualLayout>
          <c:xMode val="edge"/>
          <c:yMode val="edge"/>
          <c:x val="0.500510109147016"/>
          <c:y val="0.0734981044036164"/>
          <c:w val="0.426483166549428"/>
          <c:h val="0.103003426655001"/>
        </c:manualLayout>
      </c:layout>
      <c:overlay val="false"/>
      <c:txPr>
        <a:bodyPr rot="0" spcFirstLastPara="0" vertOverflow="ellipsis" vert="horz" wrap="square" anchor="ctr" anchorCtr="true"/>
        <a:lstStyle/>
        <a:p>
          <a:pPr>
            <a:defRPr lang="zh-CN" sz="1000" b="0" i="0" u="none" strike="noStrike" kern="1200" baseline="0">
              <a:solidFill>
                <a:schemeClr val="tx1"/>
              </a:solidFill>
              <a:latin typeface="+mn-lt"/>
              <a:ea typeface="+mn-ea"/>
              <a:cs typeface="+mn-cs"/>
            </a:defRPr>
          </a:pPr>
        </a:p>
      </c:txPr>
    </c:legend>
    <c:plotVisOnly val="true"/>
    <c:dispBlanksAs val="gap"/>
    <c:showDLblsOverMax val="false"/>
  </c:chart>
  <c:txPr>
    <a:bodyPr/>
    <a:lstStyle/>
    <a:p>
      <a:pPr>
        <a:defRPr lang="zh-CN"/>
      </a:pPr>
    </a:p>
  </c:txPr>
  <c:externalData r:id="rId1">
    <c:autoUpdate val="false"/>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false"/>
  <c:lang val="zh-CN"/>
  <c:roundedCorners val="false"/>
  <mc:AlternateContent xmlns:mc="http://schemas.openxmlformats.org/markup-compatibility/2006">
    <mc:Choice xmlns:c14="http://schemas.microsoft.com/office/drawing/2007/8/2/chart" Requires="c14">
      <c14:style val="102"/>
    </mc:Choice>
    <mc:Fallback>
      <c:style val="2"/>
    </mc:Fallback>
  </mc:AlternateContent>
  <c:chart>
    <c:autoTitleDeleted val="true"/>
    <c:plotArea>
      <c:layout>
        <c:manualLayout>
          <c:layoutTarget val="inner"/>
          <c:xMode val="edge"/>
          <c:yMode val="edge"/>
          <c:x val="0.101212038696892"/>
          <c:y val="0.130104257801108"/>
          <c:w val="0.852708252966939"/>
          <c:h val="0.690238772236804"/>
        </c:manualLayout>
      </c:layout>
      <c:barChart>
        <c:barDir val="col"/>
        <c:grouping val="clustered"/>
        <c:varyColors val="false"/>
        <c:ser>
          <c:idx val="0"/>
          <c:order val="0"/>
          <c:tx>
            <c:strRef>
              <c:f>2020年</c:f>
              <c:strCache>
                <c:ptCount val="1"/>
                <c:pt idx="0">
                  <c:v>2020年</c:v>
                </c:pt>
              </c:strCache>
            </c:strRef>
          </c:tx>
          <c:spPr>
            <a:solidFill>
              <a:schemeClr val="accent4">
                <a:lumMod val="60000"/>
                <a:lumOff val="40000"/>
              </a:schemeClr>
            </a:solidFill>
          </c:spPr>
          <c:invertIfNegative val="false"/>
          <c:dLbls>
            <c:delete val="true"/>
          </c:dLbls>
          <c:cat>
            <c:strRef>
              <c:f>Sheet1!$C$48:$C$55</c:f>
              <c:strCache>
                <c:ptCount val="8"/>
                <c:pt idx="0">
                  <c:v>吉首市</c:v>
                </c:pt>
                <c:pt idx="1">
                  <c:v>泸溪县</c:v>
                </c:pt>
                <c:pt idx="2">
                  <c:v>凤凰县</c:v>
                </c:pt>
                <c:pt idx="3">
                  <c:v>花垣县</c:v>
                </c:pt>
                <c:pt idx="4">
                  <c:v>保靖县</c:v>
                </c:pt>
                <c:pt idx="5">
                  <c:v>古丈县</c:v>
                </c:pt>
                <c:pt idx="6">
                  <c:v>永顺县</c:v>
                </c:pt>
                <c:pt idx="7">
                  <c:v>龙山县</c:v>
                </c:pt>
              </c:strCache>
            </c:strRef>
          </c:cat>
          <c:val>
            <c:numRef>
              <c:f>Sheet1!$F$48:$F$55</c:f>
              <c:numCache>
                <c:formatCode>General</c:formatCode>
                <c:ptCount val="8"/>
                <c:pt idx="0">
                  <c:v>14.11</c:v>
                </c:pt>
                <c:pt idx="1">
                  <c:v>20.44</c:v>
                </c:pt>
                <c:pt idx="2">
                  <c:v>19.87</c:v>
                </c:pt>
                <c:pt idx="3">
                  <c:v>16.56</c:v>
                </c:pt>
                <c:pt idx="4">
                  <c:v>26.48</c:v>
                </c:pt>
                <c:pt idx="5">
                  <c:v>18.59</c:v>
                </c:pt>
                <c:pt idx="6">
                  <c:v>61.38</c:v>
                </c:pt>
                <c:pt idx="7">
                  <c:v>49.38</c:v>
                </c:pt>
              </c:numCache>
            </c:numRef>
          </c:val>
        </c:ser>
        <c:ser>
          <c:idx val="1"/>
          <c:order val="1"/>
          <c:tx>
            <c:strRef>
              <c:f>2019年</c:f>
              <c:strCache>
                <c:ptCount val="1"/>
                <c:pt idx="0">
                  <c:v>2019年</c:v>
                </c:pt>
              </c:strCache>
            </c:strRef>
          </c:tx>
          <c:spPr>
            <a:solidFill>
              <a:srgbClr val="00B0F0"/>
            </a:solidFill>
          </c:spPr>
          <c:invertIfNegative val="false"/>
          <c:dLbls>
            <c:delete val="true"/>
          </c:dLbls>
          <c:cat>
            <c:strRef>
              <c:f>Sheet1!$C$48:$C$55</c:f>
              <c:strCache>
                <c:ptCount val="8"/>
                <c:pt idx="0">
                  <c:v>吉首市</c:v>
                </c:pt>
                <c:pt idx="1">
                  <c:v>泸溪县</c:v>
                </c:pt>
                <c:pt idx="2">
                  <c:v>凤凰县</c:v>
                </c:pt>
                <c:pt idx="3">
                  <c:v>花垣县</c:v>
                </c:pt>
                <c:pt idx="4">
                  <c:v>保靖县</c:v>
                </c:pt>
                <c:pt idx="5">
                  <c:v>古丈县</c:v>
                </c:pt>
                <c:pt idx="6">
                  <c:v>永顺县</c:v>
                </c:pt>
                <c:pt idx="7">
                  <c:v>龙山县</c:v>
                </c:pt>
              </c:strCache>
            </c:strRef>
          </c:cat>
          <c:val>
            <c:numRef>
              <c:f>Sheet1!$H$48:$H$55</c:f>
              <c:numCache>
                <c:formatCode>General</c:formatCode>
                <c:ptCount val="8"/>
                <c:pt idx="0">
                  <c:v>9.45</c:v>
                </c:pt>
                <c:pt idx="1">
                  <c:v>12.05</c:v>
                </c:pt>
                <c:pt idx="2">
                  <c:v>14.38</c:v>
                </c:pt>
                <c:pt idx="3">
                  <c:v>8.55</c:v>
                </c:pt>
                <c:pt idx="4">
                  <c:v>11.8</c:v>
                </c:pt>
                <c:pt idx="5">
                  <c:v>10.01</c:v>
                </c:pt>
                <c:pt idx="6">
                  <c:v>28.56</c:v>
                </c:pt>
                <c:pt idx="7">
                  <c:v>20.37</c:v>
                </c:pt>
              </c:numCache>
            </c:numRef>
          </c:val>
        </c:ser>
        <c:ser>
          <c:idx val="2"/>
          <c:order val="2"/>
          <c:tx>
            <c:strRef>
              <c:f>多年平均</c:f>
              <c:strCache>
                <c:ptCount val="1"/>
                <c:pt idx="0">
                  <c:v>多年平均</c:v>
                </c:pt>
              </c:strCache>
            </c:strRef>
          </c:tx>
          <c:spPr>
            <a:solidFill>
              <a:schemeClr val="accent6">
                <a:lumMod val="60000"/>
                <a:lumOff val="40000"/>
              </a:schemeClr>
            </a:solidFill>
          </c:spPr>
          <c:invertIfNegative val="false"/>
          <c:dLbls>
            <c:delete val="true"/>
          </c:dLbls>
          <c:cat>
            <c:strRef>
              <c:f>Sheet1!$C$48:$C$55</c:f>
              <c:strCache>
                <c:ptCount val="8"/>
                <c:pt idx="0">
                  <c:v>吉首市</c:v>
                </c:pt>
                <c:pt idx="1">
                  <c:v>泸溪县</c:v>
                </c:pt>
                <c:pt idx="2">
                  <c:v>凤凰县</c:v>
                </c:pt>
                <c:pt idx="3">
                  <c:v>花垣县</c:v>
                </c:pt>
                <c:pt idx="4">
                  <c:v>保靖县</c:v>
                </c:pt>
                <c:pt idx="5">
                  <c:v>古丈县</c:v>
                </c:pt>
                <c:pt idx="6">
                  <c:v>永顺县</c:v>
                </c:pt>
                <c:pt idx="7">
                  <c:v>龙山县</c:v>
                </c:pt>
              </c:strCache>
            </c:strRef>
          </c:cat>
          <c:val>
            <c:numRef>
              <c:f>Sheet1!$J$48:$J$55</c:f>
              <c:numCache>
                <c:formatCode>General</c:formatCode>
                <c:ptCount val="8"/>
                <c:pt idx="0">
                  <c:v>10.02</c:v>
                </c:pt>
                <c:pt idx="1">
                  <c:v>11.37</c:v>
                </c:pt>
                <c:pt idx="2">
                  <c:v>12.27</c:v>
                </c:pt>
                <c:pt idx="3">
                  <c:v>9.22</c:v>
                </c:pt>
                <c:pt idx="4">
                  <c:v>14.26</c:v>
                </c:pt>
                <c:pt idx="5">
                  <c:v>10.56</c:v>
                </c:pt>
                <c:pt idx="6">
                  <c:v>31.4</c:v>
                </c:pt>
                <c:pt idx="7">
                  <c:v>25.28</c:v>
                </c:pt>
              </c:numCache>
            </c:numRef>
          </c:val>
        </c:ser>
        <c:dLbls>
          <c:showLegendKey val="false"/>
          <c:showVal val="false"/>
          <c:showCatName val="false"/>
          <c:showSerName val="false"/>
          <c:showPercent val="false"/>
          <c:showBubbleSize val="false"/>
        </c:dLbls>
        <c:gapWidth val="150"/>
        <c:axId val="258703360"/>
        <c:axId val="258705280"/>
      </c:barChart>
      <c:catAx>
        <c:axId val="258703360"/>
        <c:scaling>
          <c:orientation val="minMax"/>
        </c:scaling>
        <c:delete val="false"/>
        <c:axPos val="b"/>
        <c:title>
          <c:tx>
            <c:rich>
              <a:bodyPr rot="0" spcFirstLastPara="0" vertOverflow="ellipsis" vert="horz" wrap="square" anchor="ctr" anchorCtr="true"/>
              <a:lstStyle/>
              <a:p>
                <a:pPr>
                  <a:defRPr lang="zh-CN" sz="1000" b="1" i="0" u="none" strike="noStrike" kern="1200" baseline="0">
                    <a:solidFill>
                      <a:schemeClr val="tx1"/>
                    </a:solidFill>
                    <a:latin typeface="+mn-lt"/>
                    <a:ea typeface="+mn-ea"/>
                    <a:cs typeface="+mn-cs"/>
                  </a:defRPr>
                </a:pPr>
                <a:r>
                  <a:rPr lang="zh-CN" altLang="en-US"/>
                  <a:t>地表水资源量：亿立方米</a:t>
                </a:r>
                <a:endParaRPr lang="zh-CN" altLang="en-US"/>
              </a:p>
            </c:rich>
          </c:tx>
          <c:layout>
            <c:manualLayout>
              <c:xMode val="edge"/>
              <c:yMode val="edge"/>
              <c:x val="0.0748983279329432"/>
              <c:y val="0.0561967436640725"/>
            </c:manualLayout>
          </c:layout>
          <c:overlay val="false"/>
        </c:title>
        <c:majorTickMark val="none"/>
        <c:minorTickMark val="none"/>
        <c:tickLblPos val="nextTo"/>
        <c:txPr>
          <a:bodyPr rot="-60000000" spcFirstLastPara="0" vertOverflow="ellipsis" vert="horz" wrap="square" anchor="ctr" anchorCtr="true"/>
          <a:lstStyle/>
          <a:p>
            <a:pPr>
              <a:defRPr lang="zh-CN" sz="1000" b="0" i="0" u="none" strike="noStrike" kern="1200" baseline="0">
                <a:solidFill>
                  <a:schemeClr val="tx1"/>
                </a:solidFill>
                <a:latin typeface="+mn-lt"/>
                <a:ea typeface="+mn-ea"/>
                <a:cs typeface="+mn-cs"/>
              </a:defRPr>
            </a:pPr>
          </a:p>
        </c:txPr>
        <c:crossAx val="258705280"/>
        <c:crosses val="autoZero"/>
        <c:auto val="true"/>
        <c:lblAlgn val="ctr"/>
        <c:lblOffset val="100"/>
        <c:noMultiLvlLbl val="false"/>
      </c:catAx>
      <c:valAx>
        <c:axId val="258705280"/>
        <c:scaling>
          <c:orientation val="minMax"/>
        </c:scaling>
        <c:delete val="false"/>
        <c:axPos val="l"/>
        <c:numFmt formatCode="General" sourceLinked="true"/>
        <c:majorTickMark val="out"/>
        <c:minorTickMark val="none"/>
        <c:tickLblPos val="nextTo"/>
        <c:txPr>
          <a:bodyPr rot="-60000000" spcFirstLastPara="0" vertOverflow="ellipsis" vert="horz" wrap="square" anchor="ctr" anchorCtr="true"/>
          <a:lstStyle/>
          <a:p>
            <a:pPr>
              <a:defRPr lang="zh-CN" sz="1000" b="0" i="0" u="none" strike="noStrike" kern="1200" baseline="0">
                <a:solidFill>
                  <a:schemeClr val="tx1"/>
                </a:solidFill>
                <a:latin typeface="+mn-lt"/>
                <a:ea typeface="+mn-ea"/>
                <a:cs typeface="+mn-cs"/>
              </a:defRPr>
            </a:pPr>
          </a:p>
        </c:txPr>
        <c:crossAx val="258703360"/>
        <c:crosses val="autoZero"/>
        <c:crossBetween val="between"/>
      </c:valAx>
      <c:spPr>
        <a:solidFill>
          <a:schemeClr val="bg1"/>
        </a:solidFill>
        <a:ln>
          <a:noFill/>
        </a:ln>
        <a:effectLst/>
      </c:spPr>
    </c:plotArea>
    <c:legend>
      <c:legendPos val="r"/>
      <c:layout>
        <c:manualLayout>
          <c:xMode val="edge"/>
          <c:yMode val="edge"/>
          <c:x val="0.500510109147016"/>
          <c:y val="0.0503499562554681"/>
          <c:w val="0.426483166549428"/>
          <c:h val="0.103003426655001"/>
        </c:manualLayout>
      </c:layout>
      <c:overlay val="false"/>
      <c:txPr>
        <a:bodyPr rot="0" spcFirstLastPara="0" vertOverflow="ellipsis" vert="horz" wrap="square" anchor="ctr" anchorCtr="true"/>
        <a:lstStyle/>
        <a:p>
          <a:pPr>
            <a:defRPr lang="zh-CN" sz="1000" b="0" i="0" u="none" strike="noStrike" kern="1200" baseline="0">
              <a:solidFill>
                <a:schemeClr val="tx1"/>
              </a:solidFill>
              <a:latin typeface="+mn-lt"/>
              <a:ea typeface="+mn-ea"/>
              <a:cs typeface="+mn-cs"/>
            </a:defRPr>
          </a:pPr>
        </a:p>
      </c:txPr>
    </c:legend>
    <c:plotVisOnly val="true"/>
    <c:dispBlanksAs val="gap"/>
    <c:showDLblsOverMax val="false"/>
  </c:chart>
  <c:txPr>
    <a:bodyPr/>
    <a:lstStyle/>
    <a:p>
      <a:pPr>
        <a:defRPr lang="zh-CN"/>
      </a:pPr>
    </a:p>
  </c:txPr>
  <c:externalData r:id="rId1">
    <c:autoUpdate val="false"/>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false"/>
  <c:lang val="zh-CN"/>
  <c:roundedCorners val="false"/>
  <mc:AlternateContent xmlns:mc="http://schemas.openxmlformats.org/markup-compatibility/2006">
    <mc:Choice xmlns:c14="http://schemas.microsoft.com/office/drawing/2007/8/2/chart" Requires="c14">
      <c14:style val="102"/>
    </mc:Choice>
    <mc:Fallback>
      <c:style val="2"/>
    </mc:Fallback>
  </mc:AlternateContent>
  <c:chart>
    <c:autoTitleDeleted val="true"/>
    <c:plotArea>
      <c:layout>
        <c:manualLayout>
          <c:layoutTarget val="inner"/>
          <c:xMode val="edge"/>
          <c:yMode val="edge"/>
          <c:x val="0.162150849564857"/>
          <c:y val="0.12591182199786"/>
          <c:w val="0.764900711424232"/>
          <c:h val="0.689159464822995"/>
        </c:manualLayout>
      </c:layout>
      <c:barChart>
        <c:barDir val="col"/>
        <c:grouping val="clustered"/>
        <c:varyColors val="false"/>
        <c:ser>
          <c:idx val="0"/>
          <c:order val="0"/>
          <c:tx>
            <c:strRef>
              <c:f>Sheet1!$E$134</c:f>
              <c:strCache>
                <c:ptCount val="1"/>
                <c:pt idx="0">
                  <c:v>2019年末</c:v>
                </c:pt>
              </c:strCache>
            </c:strRef>
          </c:tx>
          <c:invertIfNegative val="false"/>
          <c:dLbls>
            <c:delete val="true"/>
          </c:dLbls>
          <c:cat>
            <c:strRef>
              <c:f>Sheet1!$D$135:$D$142</c:f>
              <c:strCache>
                <c:ptCount val="8"/>
                <c:pt idx="0">
                  <c:v>吉首市</c:v>
                </c:pt>
                <c:pt idx="1">
                  <c:v>泸溪县</c:v>
                </c:pt>
                <c:pt idx="2">
                  <c:v>凤凰县</c:v>
                </c:pt>
                <c:pt idx="3">
                  <c:v>花垣县</c:v>
                </c:pt>
                <c:pt idx="4">
                  <c:v>保靖县</c:v>
                </c:pt>
                <c:pt idx="5">
                  <c:v>古丈县</c:v>
                </c:pt>
                <c:pt idx="6">
                  <c:v>永顺县</c:v>
                </c:pt>
                <c:pt idx="7">
                  <c:v>龙山县</c:v>
                </c:pt>
              </c:strCache>
            </c:strRef>
          </c:cat>
          <c:val>
            <c:numRef>
              <c:f>Sheet1!$E$135:$E$142</c:f>
              <c:numCache>
                <c:formatCode>General</c:formatCode>
                <c:ptCount val="8"/>
                <c:pt idx="0">
                  <c:v>0.34</c:v>
                </c:pt>
                <c:pt idx="1">
                  <c:v>0.8</c:v>
                </c:pt>
                <c:pt idx="2">
                  <c:v>0.730000000000001</c:v>
                </c:pt>
                <c:pt idx="3">
                  <c:v>0.58</c:v>
                </c:pt>
                <c:pt idx="4">
                  <c:v>2.57</c:v>
                </c:pt>
                <c:pt idx="5">
                  <c:v>0.25</c:v>
                </c:pt>
                <c:pt idx="6">
                  <c:v>1.1</c:v>
                </c:pt>
                <c:pt idx="7">
                  <c:v>0.79</c:v>
                </c:pt>
              </c:numCache>
            </c:numRef>
          </c:val>
        </c:ser>
        <c:ser>
          <c:idx val="1"/>
          <c:order val="1"/>
          <c:tx>
            <c:strRef>
              <c:f>Sheet1!$F$134</c:f>
              <c:strCache>
                <c:ptCount val="1"/>
                <c:pt idx="0">
                  <c:v>2020年末</c:v>
                </c:pt>
              </c:strCache>
            </c:strRef>
          </c:tx>
          <c:invertIfNegative val="false"/>
          <c:dLbls>
            <c:delete val="true"/>
          </c:dLbls>
          <c:cat>
            <c:strRef>
              <c:f>Sheet1!$D$135:$D$142</c:f>
              <c:strCache>
                <c:ptCount val="8"/>
                <c:pt idx="0">
                  <c:v>吉首市</c:v>
                </c:pt>
                <c:pt idx="1">
                  <c:v>泸溪县</c:v>
                </c:pt>
                <c:pt idx="2">
                  <c:v>凤凰县</c:v>
                </c:pt>
                <c:pt idx="3">
                  <c:v>花垣县</c:v>
                </c:pt>
                <c:pt idx="4">
                  <c:v>保靖县</c:v>
                </c:pt>
                <c:pt idx="5">
                  <c:v>古丈县</c:v>
                </c:pt>
                <c:pt idx="6">
                  <c:v>永顺县</c:v>
                </c:pt>
                <c:pt idx="7">
                  <c:v>龙山县</c:v>
                </c:pt>
              </c:strCache>
            </c:strRef>
          </c:cat>
          <c:val>
            <c:numRef>
              <c:f>Sheet1!$F$135:$F$142</c:f>
              <c:numCache>
                <c:formatCode>General</c:formatCode>
                <c:ptCount val="8"/>
                <c:pt idx="0">
                  <c:v>0.47</c:v>
                </c:pt>
                <c:pt idx="1">
                  <c:v>0.88</c:v>
                </c:pt>
                <c:pt idx="2">
                  <c:v>1.06</c:v>
                </c:pt>
                <c:pt idx="3">
                  <c:v>0.850000000000001</c:v>
                </c:pt>
                <c:pt idx="4">
                  <c:v>2.49</c:v>
                </c:pt>
                <c:pt idx="5">
                  <c:v>0.330000000000001</c:v>
                </c:pt>
                <c:pt idx="6">
                  <c:v>1.38</c:v>
                </c:pt>
                <c:pt idx="7">
                  <c:v>1.03</c:v>
                </c:pt>
              </c:numCache>
            </c:numRef>
          </c:val>
        </c:ser>
        <c:dLbls>
          <c:showLegendKey val="false"/>
          <c:showVal val="false"/>
          <c:showCatName val="false"/>
          <c:showSerName val="false"/>
          <c:showPercent val="false"/>
          <c:showBubbleSize val="false"/>
        </c:dLbls>
        <c:gapWidth val="150"/>
        <c:axId val="258722048"/>
        <c:axId val="258724224"/>
      </c:barChart>
      <c:catAx>
        <c:axId val="258722048"/>
        <c:scaling>
          <c:orientation val="minMax"/>
        </c:scaling>
        <c:delete val="false"/>
        <c:axPos val="b"/>
        <c:title>
          <c:tx>
            <c:rich>
              <a:bodyPr rot="0" spcFirstLastPara="0" vertOverflow="ellipsis" vert="horz" wrap="square" anchor="ctr" anchorCtr="true"/>
              <a:lstStyle/>
              <a:p>
                <a:pPr>
                  <a:defRPr lang="zh-CN" sz="1000" b="1" i="0" u="none" strike="noStrike" kern="1200" baseline="0">
                    <a:solidFill>
                      <a:schemeClr val="tx1"/>
                    </a:solidFill>
                    <a:latin typeface="+mn-lt"/>
                    <a:ea typeface="+mn-ea"/>
                    <a:cs typeface="+mn-cs"/>
                  </a:defRPr>
                </a:pPr>
                <a:r>
                  <a:rPr lang="zh-CN" altLang="en-US"/>
                  <a:t>蓄水量：亿</a:t>
                </a:r>
                <a:r>
                  <a:rPr lang="zh-CN" altLang="en-US" baseline="0"/>
                  <a:t> </a:t>
                </a:r>
                <a:r>
                  <a:rPr lang="en-US" altLang="zh-CN" baseline="0"/>
                  <a:t>m</a:t>
                </a:r>
                <a:r>
                  <a:rPr lang="en-US" altLang="zh-CN" baseline="30000"/>
                  <a:t>3</a:t>
                </a:r>
                <a:endParaRPr lang="zh-CN" altLang="en-US" baseline="30000"/>
              </a:p>
            </c:rich>
          </c:tx>
          <c:layout>
            <c:manualLayout>
              <c:xMode val="edge"/>
              <c:yMode val="edge"/>
              <c:x val="0.118152714463324"/>
              <c:y val="0.0751307306098933"/>
            </c:manualLayout>
          </c:layout>
          <c:overlay val="false"/>
        </c:title>
        <c:majorTickMark val="none"/>
        <c:minorTickMark val="none"/>
        <c:tickLblPos val="nextTo"/>
        <c:txPr>
          <a:bodyPr rot="-60000000" spcFirstLastPara="0" vertOverflow="ellipsis" vert="horz" wrap="square" anchor="ctr" anchorCtr="true"/>
          <a:lstStyle/>
          <a:p>
            <a:pPr>
              <a:defRPr lang="zh-CN" sz="1000" b="0" i="0" u="none" strike="noStrike" kern="1200" baseline="0">
                <a:solidFill>
                  <a:schemeClr val="tx1"/>
                </a:solidFill>
                <a:latin typeface="+mn-lt"/>
                <a:ea typeface="+mn-ea"/>
                <a:cs typeface="+mn-cs"/>
              </a:defRPr>
            </a:pPr>
          </a:p>
        </c:txPr>
        <c:crossAx val="258724224"/>
        <c:crosses val="autoZero"/>
        <c:auto val="true"/>
        <c:lblAlgn val="ctr"/>
        <c:lblOffset val="100"/>
        <c:noMultiLvlLbl val="false"/>
      </c:catAx>
      <c:valAx>
        <c:axId val="258724224"/>
        <c:scaling>
          <c:orientation val="minMax"/>
        </c:scaling>
        <c:delete val="false"/>
        <c:axPos val="l"/>
        <c:numFmt formatCode="General" sourceLinked="true"/>
        <c:majorTickMark val="out"/>
        <c:minorTickMark val="none"/>
        <c:tickLblPos val="nextTo"/>
        <c:txPr>
          <a:bodyPr rot="-60000000" spcFirstLastPara="0" vertOverflow="ellipsis" vert="horz" wrap="square" anchor="ctr" anchorCtr="true"/>
          <a:lstStyle/>
          <a:p>
            <a:pPr>
              <a:defRPr lang="zh-CN" sz="1000" b="0" i="0" u="none" strike="noStrike" kern="1200" baseline="0">
                <a:solidFill>
                  <a:schemeClr val="tx1"/>
                </a:solidFill>
                <a:latin typeface="+mn-lt"/>
                <a:ea typeface="+mn-ea"/>
                <a:cs typeface="+mn-cs"/>
              </a:defRPr>
            </a:pPr>
          </a:p>
        </c:txPr>
        <c:crossAx val="258722048"/>
        <c:crosses val="autoZero"/>
        <c:crossBetween val="between"/>
      </c:valAx>
      <c:spPr>
        <a:solidFill>
          <a:schemeClr val="bg1"/>
        </a:solidFill>
        <a:ln>
          <a:noFill/>
        </a:ln>
        <a:effectLst/>
      </c:spPr>
    </c:plotArea>
    <c:legend>
      <c:legendPos val="r"/>
      <c:layout>
        <c:manualLayout>
          <c:xMode val="edge"/>
          <c:yMode val="edge"/>
          <c:x val="0.564725104726148"/>
          <c:y val="0.0257470255242485"/>
          <c:w val="0.289579531035443"/>
          <c:h val="0.168017778265522"/>
        </c:manualLayout>
      </c:layout>
      <c:overlay val="false"/>
      <c:txPr>
        <a:bodyPr rot="0" spcFirstLastPara="0" vertOverflow="ellipsis" vert="horz" wrap="square" anchor="ctr" anchorCtr="true"/>
        <a:lstStyle/>
        <a:p>
          <a:pPr>
            <a:defRPr lang="zh-CN" sz="1000" b="0" i="0" u="none" strike="noStrike" kern="1200" baseline="0">
              <a:solidFill>
                <a:schemeClr val="tx1"/>
              </a:solidFill>
              <a:latin typeface="+mn-lt"/>
              <a:ea typeface="+mn-ea"/>
              <a:cs typeface="+mn-cs"/>
            </a:defRPr>
          </a:pPr>
        </a:p>
      </c:txPr>
    </c:legend>
    <c:plotVisOnly val="true"/>
    <c:dispBlanksAs val="gap"/>
    <c:showDLblsOverMax val="false"/>
  </c:chart>
  <c:txPr>
    <a:bodyPr/>
    <a:lstStyle/>
    <a:p>
      <a:pPr>
        <a:defRPr lang="zh-CN"/>
      </a:pPr>
    </a:p>
  </c:txPr>
  <c:externalData r:id="rId1">
    <c:autoUpdate val="false"/>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false"/>
  <c:lang val="zh-CN"/>
  <c:roundedCorners val="false"/>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true"/>
          <a:lstStyle/>
          <a:p>
            <a:pPr>
              <a:defRPr lang="zh-CN" sz="1800" b="1" i="0" u="none" strike="noStrike" kern="1200" baseline="0">
                <a:solidFill>
                  <a:schemeClr val="tx1"/>
                </a:solidFill>
                <a:latin typeface="+mn-lt"/>
                <a:ea typeface="+mn-ea"/>
                <a:cs typeface="+mn-cs"/>
              </a:defRPr>
            </a:pPr>
            <a:r>
              <a:rPr lang="zh-CN" altLang="en-US" sz="1200" b="0" i="0" baseline="0"/>
              <a:t>供水量：万</a:t>
            </a:r>
            <a:r>
              <a:rPr lang="en-US" altLang="zh-CN" sz="1200" b="0" i="0" baseline="0"/>
              <a:t>m</a:t>
            </a:r>
            <a:r>
              <a:rPr lang="en-US" altLang="zh-CN" sz="1200" b="0" i="0" baseline="30000"/>
              <a:t>3</a:t>
            </a:r>
            <a:endParaRPr lang="zh-CN" altLang="en-US" sz="1200" b="0" i="0" baseline="30000"/>
          </a:p>
        </c:rich>
      </c:tx>
      <c:layout>
        <c:manualLayout>
          <c:xMode val="edge"/>
          <c:yMode val="edge"/>
          <c:x val="0.100227054241729"/>
          <c:y val="0.0509259259259259"/>
        </c:manualLayout>
      </c:layout>
      <c:overlay val="false"/>
    </c:title>
    <c:autoTitleDeleted val="false"/>
    <c:plotArea>
      <c:layout>
        <c:manualLayout>
          <c:layoutTarget val="inner"/>
          <c:xMode val="edge"/>
          <c:yMode val="edge"/>
          <c:x val="0.169507840480758"/>
          <c:y val="0.166770924467775"/>
          <c:w val="0.751027109686247"/>
          <c:h val="0.677947287839022"/>
        </c:manualLayout>
      </c:layout>
      <c:barChart>
        <c:barDir val="col"/>
        <c:grouping val="stacked"/>
        <c:varyColors val="false"/>
        <c:ser>
          <c:idx val="0"/>
          <c:order val="0"/>
          <c:tx>
            <c:strRef>
              <c:f>供水!$F$68</c:f>
              <c:strCache>
                <c:ptCount val="1"/>
                <c:pt idx="0">
                  <c:v>地表水</c:v>
                </c:pt>
              </c:strCache>
            </c:strRef>
          </c:tx>
          <c:invertIfNegative val="false"/>
          <c:dLbls>
            <c:delete val="true"/>
          </c:dLbls>
          <c:cat>
            <c:strRef>
              <c:f>供水!$E$69:$E$76</c:f>
              <c:strCache>
                <c:ptCount val="8"/>
                <c:pt idx="0">
                  <c:v>吉首市</c:v>
                </c:pt>
                <c:pt idx="1">
                  <c:v>泸溪县</c:v>
                </c:pt>
                <c:pt idx="2">
                  <c:v>凤凰县</c:v>
                </c:pt>
                <c:pt idx="3">
                  <c:v>花垣县</c:v>
                </c:pt>
                <c:pt idx="4">
                  <c:v>保靖县</c:v>
                </c:pt>
                <c:pt idx="5">
                  <c:v>古丈县</c:v>
                </c:pt>
                <c:pt idx="6">
                  <c:v>永顺县</c:v>
                </c:pt>
                <c:pt idx="7">
                  <c:v>龙山县</c:v>
                </c:pt>
              </c:strCache>
            </c:strRef>
          </c:cat>
          <c:val>
            <c:numRef>
              <c:f>供水!$F$69:$F$76</c:f>
              <c:numCache>
                <c:formatCode>General</c:formatCode>
                <c:ptCount val="8"/>
                <c:pt idx="0">
                  <c:v>9926</c:v>
                </c:pt>
                <c:pt idx="1">
                  <c:v>9971</c:v>
                </c:pt>
                <c:pt idx="2">
                  <c:v>13191</c:v>
                </c:pt>
                <c:pt idx="3">
                  <c:v>10522</c:v>
                </c:pt>
                <c:pt idx="4">
                  <c:v>9036</c:v>
                </c:pt>
                <c:pt idx="5">
                  <c:v>4558</c:v>
                </c:pt>
                <c:pt idx="6">
                  <c:v>16900</c:v>
                </c:pt>
                <c:pt idx="7">
                  <c:v>11703</c:v>
                </c:pt>
              </c:numCache>
            </c:numRef>
          </c:val>
        </c:ser>
        <c:ser>
          <c:idx val="1"/>
          <c:order val="1"/>
          <c:tx>
            <c:strRef>
              <c:f>供水!$G$68</c:f>
              <c:strCache>
                <c:ptCount val="1"/>
                <c:pt idx="0">
                  <c:v>地下水</c:v>
                </c:pt>
              </c:strCache>
            </c:strRef>
          </c:tx>
          <c:invertIfNegative val="false"/>
          <c:dLbls>
            <c:delete val="true"/>
          </c:dLbls>
          <c:cat>
            <c:strRef>
              <c:f>供水!$E$69:$E$76</c:f>
              <c:strCache>
                <c:ptCount val="8"/>
                <c:pt idx="0">
                  <c:v>吉首市</c:v>
                </c:pt>
                <c:pt idx="1">
                  <c:v>泸溪县</c:v>
                </c:pt>
                <c:pt idx="2">
                  <c:v>凤凰县</c:v>
                </c:pt>
                <c:pt idx="3">
                  <c:v>花垣县</c:v>
                </c:pt>
                <c:pt idx="4">
                  <c:v>保靖县</c:v>
                </c:pt>
                <c:pt idx="5">
                  <c:v>古丈县</c:v>
                </c:pt>
                <c:pt idx="6">
                  <c:v>永顺县</c:v>
                </c:pt>
                <c:pt idx="7">
                  <c:v>龙山县</c:v>
                </c:pt>
              </c:strCache>
            </c:strRef>
          </c:cat>
          <c:val>
            <c:numRef>
              <c:f>供水!$G$69:$G$76</c:f>
              <c:numCache>
                <c:formatCode>General</c:formatCode>
                <c:ptCount val="8"/>
                <c:pt idx="0">
                  <c:v>45</c:v>
                </c:pt>
                <c:pt idx="4">
                  <c:v>570</c:v>
                </c:pt>
              </c:numCache>
            </c:numRef>
          </c:val>
        </c:ser>
        <c:dLbls>
          <c:showLegendKey val="false"/>
          <c:showVal val="false"/>
          <c:showCatName val="false"/>
          <c:showSerName val="false"/>
          <c:showPercent val="false"/>
          <c:showBubbleSize val="false"/>
        </c:dLbls>
        <c:gapWidth val="55"/>
        <c:overlap val="100"/>
        <c:axId val="268071680"/>
        <c:axId val="268073216"/>
      </c:barChart>
      <c:catAx>
        <c:axId val="268071680"/>
        <c:scaling>
          <c:orientation val="minMax"/>
        </c:scaling>
        <c:delete val="false"/>
        <c:axPos val="b"/>
        <c:majorTickMark val="none"/>
        <c:minorTickMark val="none"/>
        <c:tickLblPos val="nextTo"/>
        <c:txPr>
          <a:bodyPr rot="-60000000" spcFirstLastPara="0" vertOverflow="ellipsis" vert="horz" wrap="square" anchor="ctr" anchorCtr="true"/>
          <a:lstStyle/>
          <a:p>
            <a:pPr>
              <a:defRPr lang="zh-CN" sz="1000" b="0" i="0" u="none" strike="noStrike" kern="1200" baseline="0">
                <a:solidFill>
                  <a:schemeClr val="tx1"/>
                </a:solidFill>
                <a:latin typeface="+mn-lt"/>
                <a:ea typeface="+mn-ea"/>
                <a:cs typeface="+mn-cs"/>
              </a:defRPr>
            </a:pPr>
          </a:p>
        </c:txPr>
        <c:crossAx val="268073216"/>
        <c:crosses val="autoZero"/>
        <c:auto val="true"/>
        <c:lblAlgn val="ctr"/>
        <c:lblOffset val="100"/>
        <c:noMultiLvlLbl val="false"/>
      </c:catAx>
      <c:valAx>
        <c:axId val="268073216"/>
        <c:scaling>
          <c:orientation val="minMax"/>
        </c:scaling>
        <c:delete val="false"/>
        <c:axPos val="l"/>
        <c:numFmt formatCode="General" sourceLinked="true"/>
        <c:majorTickMark val="none"/>
        <c:minorTickMark val="none"/>
        <c:tickLblPos val="nextTo"/>
        <c:txPr>
          <a:bodyPr rot="-60000000" spcFirstLastPara="0" vertOverflow="ellipsis" vert="horz" wrap="square" anchor="ctr" anchorCtr="true"/>
          <a:lstStyle/>
          <a:p>
            <a:pPr>
              <a:defRPr lang="zh-CN" sz="1000" b="0" i="0" u="none" strike="noStrike" kern="1200" baseline="0">
                <a:solidFill>
                  <a:schemeClr val="tx1"/>
                </a:solidFill>
                <a:latin typeface="+mn-lt"/>
                <a:ea typeface="+mn-ea"/>
                <a:cs typeface="+mn-cs"/>
              </a:defRPr>
            </a:pPr>
          </a:p>
        </c:txPr>
        <c:crossAx val="268071680"/>
        <c:crosses val="autoZero"/>
        <c:crossBetween val="between"/>
      </c:valAx>
      <c:spPr>
        <a:solidFill>
          <a:schemeClr val="bg1"/>
        </a:solidFill>
        <a:ln>
          <a:noFill/>
        </a:ln>
        <a:effectLst/>
      </c:spPr>
    </c:plotArea>
    <c:legend>
      <c:legendPos val="r"/>
      <c:layout>
        <c:manualLayout>
          <c:xMode val="edge"/>
          <c:yMode val="edge"/>
          <c:x val="0.616162434550879"/>
          <c:y val="0.0572087343248762"/>
          <c:w val="0.30660871820324"/>
          <c:h val="0.0887306794983964"/>
        </c:manualLayout>
      </c:layout>
      <c:overlay val="false"/>
      <c:txPr>
        <a:bodyPr rot="0" spcFirstLastPara="0" vertOverflow="ellipsis" vert="horz" wrap="square" anchor="ctr" anchorCtr="true"/>
        <a:lstStyle/>
        <a:p>
          <a:pPr>
            <a:defRPr lang="zh-CN" sz="1000" b="0" i="0" u="none" strike="noStrike" kern="1200" baseline="0">
              <a:solidFill>
                <a:schemeClr val="tx1"/>
              </a:solidFill>
              <a:latin typeface="+mn-lt"/>
              <a:ea typeface="+mn-ea"/>
              <a:cs typeface="+mn-cs"/>
            </a:defRPr>
          </a:pPr>
        </a:p>
      </c:txPr>
    </c:legend>
    <c:plotVisOnly val="true"/>
    <c:dispBlanksAs val="gap"/>
    <c:showDLblsOverMax val="false"/>
  </c:chart>
  <c:txPr>
    <a:bodyPr/>
    <a:lstStyle/>
    <a:p>
      <a:pPr>
        <a:defRPr lang="zh-CN"/>
      </a:pPr>
    </a:p>
  </c:txPr>
  <c:externalData r:id="rId1">
    <c:autoUpdate val="false"/>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false"/>
  <c:lang val="zh-CN"/>
  <c:roundedCorners val="false"/>
  <mc:AlternateContent xmlns:mc="http://schemas.openxmlformats.org/markup-compatibility/2006">
    <mc:Choice xmlns:c14="http://schemas.microsoft.com/office/drawing/2007/8/2/chart" Requires="c14">
      <c14:style val="102"/>
    </mc:Choice>
    <mc:Fallback>
      <c:style val="2"/>
    </mc:Fallback>
  </mc:AlternateContent>
  <c:chart>
    <c:autoTitleDeleted val="true"/>
    <c:plotArea>
      <c:layout>
        <c:manualLayout>
          <c:layoutTarget val="inner"/>
          <c:xMode val="edge"/>
          <c:yMode val="edge"/>
          <c:x val="0.175671130441707"/>
          <c:y val="0.223853353830586"/>
          <c:w val="0.82202638828586"/>
          <c:h val="0.776146646169416"/>
        </c:manualLayout>
      </c:layout>
      <c:pieChart>
        <c:varyColors val="true"/>
        <c:ser>
          <c:idx val="0"/>
          <c:order val="0"/>
          <c:explosion val="20"/>
          <c:dPt>
            <c:idx val="0"/>
            <c:bubble3D val="false"/>
          </c:dPt>
          <c:dPt>
            <c:idx val="1"/>
            <c:bubble3D val="false"/>
          </c:dPt>
          <c:dPt>
            <c:idx val="2"/>
            <c:bubble3D val="false"/>
          </c:dPt>
          <c:dPt>
            <c:idx val="3"/>
            <c:bubble3D val="false"/>
          </c:dPt>
          <c:dPt>
            <c:idx val="4"/>
            <c:bubble3D val="false"/>
          </c:dPt>
          <c:dPt>
            <c:idx val="5"/>
            <c:bubble3D val="false"/>
          </c:dPt>
          <c:dPt>
            <c:idx val="6"/>
            <c:bubble3D val="false"/>
          </c:dPt>
          <c:dLbls>
            <c:dLbl>
              <c:idx val="0"/>
              <c:layout>
                <c:manualLayout>
                  <c:x val="-0.179466318817059"/>
                  <c:y val="-0.222358870575415"/>
                </c:manualLayout>
              </c:layout>
              <c:dLblPos val="bestFit"/>
              <c:showLegendKey val="false"/>
              <c:showVal val="false"/>
              <c:showCatName val="true"/>
              <c:showSerName val="false"/>
              <c:showPercent val="true"/>
              <c:showBubbleSize val="false"/>
              <c:separator>
</c:separator>
              <c:extLst>
                <c:ext xmlns:c15="http://schemas.microsoft.com/office/drawing/2012/chart" uri="{CE6537A1-D6FC-4f65-9D91-7224C49458BB}">
                  <c15:layout/>
                </c:ext>
              </c:extLst>
            </c:dLbl>
            <c:dLbl>
              <c:idx val="1"/>
              <c:layout>
                <c:manualLayout>
                  <c:x val="-0.110730123940383"/>
                  <c:y val="-0.0195043509488235"/>
                </c:manualLayout>
              </c:layout>
              <c:tx>
                <c:rich>
                  <a:bodyPr rot="0" spcFirstLastPara="0" vertOverflow="ellipsis" vert="horz" wrap="square" lIns="38100" tIns="19050" rIns="38100" bIns="19050" anchor="ctr" anchorCtr="true"/>
                  <a:lstStyle/>
                  <a:p>
                    <a:pPr>
                      <a:defRPr lang="zh-CN" sz="1000" b="0" i="0" u="none" strike="noStrike" kern="1200" baseline="0">
                        <a:solidFill>
                          <a:schemeClr val="tx1"/>
                        </a:solidFill>
                        <a:latin typeface="+mn-lt"/>
                        <a:ea typeface="+mn-ea"/>
                        <a:cs typeface="+mn-cs"/>
                      </a:defRPr>
                    </a:pPr>
                    <a:r>
                      <a:rPr lang="zh-CN" altLang="en-US"/>
                      <a:t>牲畜</a:t>
                    </a:r>
                    <a:r>
                      <a:rPr lang="en-US" altLang="zh-CN"/>
                      <a:t>1%</a:t>
                    </a:r>
                    <a:endParaRPr lang="en-US" altLang="zh-CN"/>
                  </a:p>
                </c:rich>
              </c:tx>
              <c:dLblPos val="bestFit"/>
              <c:showLegendKey val="false"/>
              <c:showVal val="false"/>
              <c:showCatName val="true"/>
              <c:showSerName val="false"/>
              <c:showPercent val="true"/>
              <c:showBubbleSize val="false"/>
              <c:separator>
</c:separator>
              <c:extLst>
                <c:ext xmlns:c15="http://schemas.microsoft.com/office/drawing/2012/chart" uri="{CE6537A1-D6FC-4f65-9D91-7224C49458BB}">
                  <c15:layout/>
                </c:ext>
              </c:extLst>
            </c:dLbl>
            <c:dLbl>
              <c:idx val="2"/>
              <c:layout>
                <c:manualLayout>
                  <c:x val="-0.0815731346849161"/>
                  <c:y val="-0.0461442933489481"/>
                </c:manualLayout>
              </c:layout>
              <c:tx>
                <c:rich>
                  <a:bodyPr rot="0" spcFirstLastPara="0" vertOverflow="ellipsis" vert="horz" wrap="square" lIns="38100" tIns="19050" rIns="38100" bIns="19050" anchor="ctr" anchorCtr="true"/>
                  <a:lstStyle/>
                  <a:p>
                    <a:pPr>
                      <a:defRPr lang="zh-CN" sz="1000" b="0" i="0" u="none" strike="noStrike" kern="1200" baseline="0">
                        <a:solidFill>
                          <a:schemeClr val="tx1"/>
                        </a:solidFill>
                        <a:latin typeface="+mn-lt"/>
                        <a:ea typeface="+mn-ea"/>
                        <a:cs typeface="+mn-cs"/>
                      </a:defRPr>
                    </a:pPr>
                    <a:r>
                      <a:rPr lang="zh-CN" altLang="en-US"/>
                      <a:t>一般工业</a:t>
                    </a:r>
                    <a:r>
                      <a:rPr lang="en-US" altLang="zh-CN"/>
                      <a:t>5%</a:t>
                    </a:r>
                    <a:endParaRPr lang="en-US" altLang="zh-CN"/>
                  </a:p>
                </c:rich>
              </c:tx>
              <c:dLblPos val="bestFit"/>
              <c:showLegendKey val="false"/>
              <c:showVal val="false"/>
              <c:showCatName val="true"/>
              <c:showSerName val="false"/>
              <c:showPercent val="true"/>
              <c:showBubbleSize val="false"/>
              <c:separator>
</c:separator>
              <c:extLst>
                <c:ext xmlns:c15="http://schemas.microsoft.com/office/drawing/2012/chart" uri="{CE6537A1-D6FC-4f65-9D91-7224C49458BB}">
                  <c15:layout/>
                </c:ext>
              </c:extLst>
            </c:dLbl>
            <c:dLbl>
              <c:idx val="3"/>
              <c:layout>
                <c:manualLayout>
                  <c:x val="-0.133448166679623"/>
                  <c:y val="-0.0703358872344455"/>
                </c:manualLayout>
              </c:layout>
              <c:tx>
                <c:rich>
                  <a:bodyPr rot="0" spcFirstLastPara="0" vertOverflow="ellipsis" vert="horz" wrap="square" lIns="38100" tIns="19050" rIns="38100" bIns="19050" anchor="ctr" anchorCtr="true"/>
                  <a:lstStyle/>
                  <a:p>
                    <a:pPr>
                      <a:defRPr lang="zh-CN" sz="1000" b="0" i="0" u="none" strike="noStrike" kern="1200" baseline="0">
                        <a:solidFill>
                          <a:schemeClr val="tx1"/>
                        </a:solidFill>
                        <a:latin typeface="+mn-lt"/>
                        <a:ea typeface="+mn-ea"/>
                        <a:cs typeface="+mn-cs"/>
                      </a:defRPr>
                    </a:pPr>
                    <a:r>
                      <a:rPr lang="zh-CN" altLang="en-US"/>
                      <a:t>城镇公共</a:t>
                    </a:r>
                    <a:r>
                      <a:rPr lang="en-US" altLang="zh-CN"/>
                      <a:t>3%</a:t>
                    </a:r>
                    <a:endParaRPr lang="zh-CN" altLang="en-US"/>
                  </a:p>
                </c:rich>
              </c:tx>
              <c:dLblPos val="bestFit"/>
              <c:showLegendKey val="false"/>
              <c:showVal val="false"/>
              <c:showCatName val="true"/>
              <c:showSerName val="false"/>
              <c:showPercent val="true"/>
              <c:showBubbleSize val="false"/>
              <c:separator>
</c:separator>
              <c:extLst>
                <c:ext xmlns:c15="http://schemas.microsoft.com/office/drawing/2012/chart" uri="{CE6537A1-D6FC-4f65-9D91-7224C49458BB}">
                  <c15:layout/>
                </c:ext>
              </c:extLst>
            </c:dLbl>
            <c:dLbl>
              <c:idx val="4"/>
              <c:layout>
                <c:manualLayout>
                  <c:x val="-0.169044292049576"/>
                  <c:y val="-0.0897227740637809"/>
                </c:manualLayout>
              </c:layout>
              <c:tx>
                <c:rich>
                  <a:bodyPr rot="0" spcFirstLastPara="0" vertOverflow="ellipsis" vert="horz" wrap="square" lIns="38100" tIns="19050" rIns="38100" bIns="19050" anchor="ctr" anchorCtr="true"/>
                  <a:lstStyle/>
                  <a:p>
                    <a:pPr>
                      <a:defRPr lang="zh-CN" sz="1000" b="0" i="0" u="none" strike="noStrike" kern="1200" baseline="0">
                        <a:solidFill>
                          <a:schemeClr val="tx1"/>
                        </a:solidFill>
                        <a:latin typeface="+mn-lt"/>
                        <a:ea typeface="+mn-ea"/>
                        <a:cs typeface="+mn-cs"/>
                      </a:defRPr>
                    </a:pPr>
                    <a:r>
                      <a:rPr lang="zh-CN" altLang="en-US"/>
                      <a:t>城镇居民生活</a:t>
                    </a:r>
                    <a:r>
                      <a:rPr lang="en-US" altLang="zh-CN"/>
                      <a:t>8%</a:t>
                    </a:r>
                    <a:endParaRPr lang="zh-CN" altLang="en-US"/>
                  </a:p>
                </c:rich>
              </c:tx>
              <c:dLblPos val="bestFit"/>
              <c:showLegendKey val="false"/>
              <c:showVal val="false"/>
              <c:showCatName val="true"/>
              <c:showSerName val="false"/>
              <c:showPercent val="true"/>
              <c:showBubbleSize val="false"/>
              <c:separator>
</c:separator>
              <c:extLst>
                <c:ext xmlns:c15="http://schemas.microsoft.com/office/drawing/2012/chart" uri="{CE6537A1-D6FC-4f65-9D91-7224C49458BB}">
                  <c15:layout/>
                </c:ext>
              </c:extLst>
            </c:dLbl>
            <c:dLbl>
              <c:idx val="5"/>
              <c:layout>
                <c:manualLayout>
                  <c:x val="0.0307247772694438"/>
                  <c:y val="-0.0319279506226129"/>
                </c:manualLayout>
              </c:layout>
              <c:dLblPos val="bestFit"/>
              <c:showLegendKey val="false"/>
              <c:showVal val="false"/>
              <c:showCatName val="true"/>
              <c:showSerName val="false"/>
              <c:showPercent val="true"/>
              <c:showBubbleSize val="false"/>
              <c:separator>
</c:separator>
              <c:extLst>
                <c:ext xmlns:c15="http://schemas.microsoft.com/office/drawing/2012/chart" uri="{CE6537A1-D6FC-4f65-9D91-7224C49458BB}">
                  <c15:layout/>
                </c:ext>
              </c:extLst>
            </c:dLbl>
            <c:dLbl>
              <c:idx val="6"/>
              <c:layout>
                <c:manualLayout>
                  <c:x val="0.204415364284617"/>
                  <c:y val="-0.0390996304479736"/>
                </c:manualLayout>
              </c:layout>
              <c:tx>
                <c:rich>
                  <a:bodyPr rot="0" spcFirstLastPara="0" vertOverflow="ellipsis" vert="horz" wrap="square" lIns="38100" tIns="19050" rIns="38100" bIns="19050" anchor="ctr" anchorCtr="true"/>
                  <a:lstStyle/>
                  <a:p>
                    <a:pPr>
                      <a:defRPr lang="zh-CN" sz="1000" b="0" i="0" u="none" strike="noStrike" kern="1200" baseline="0">
                        <a:solidFill>
                          <a:schemeClr val="tx1"/>
                        </a:solidFill>
                        <a:latin typeface="+mn-lt"/>
                        <a:ea typeface="+mn-ea"/>
                        <a:cs typeface="+mn-cs"/>
                      </a:defRPr>
                    </a:pPr>
                    <a:r>
                      <a:rPr lang="zh-CN" altLang="en-US"/>
                      <a:t>生态环境</a:t>
                    </a:r>
                    <a:r>
                      <a:rPr lang="en-US" altLang="zh-CN"/>
                      <a:t>1%</a:t>
                    </a:r>
                    <a:endParaRPr lang="zh-CN" altLang="en-US"/>
                  </a:p>
                </c:rich>
              </c:tx>
              <c:dLblPos val="bestFit"/>
              <c:showLegendKey val="false"/>
              <c:showVal val="false"/>
              <c:showCatName val="true"/>
              <c:showSerName val="false"/>
              <c:showPercent val="true"/>
              <c:showBubbleSize val="false"/>
              <c:separator>
</c:separator>
              <c:extLst>
                <c:ext xmlns:c15="http://schemas.microsoft.com/office/drawing/2012/chart" uri="{CE6537A1-D6FC-4f65-9D91-7224C49458BB}">
                  <c15:layout/>
                </c:ext>
              </c:extLst>
            </c:dLbl>
            <c:spPr>
              <a:noFill/>
              <a:ln>
                <a:noFill/>
              </a:ln>
              <a:effectLst/>
            </c:spPr>
            <c:txPr>
              <a:bodyPr rot="0" spcFirstLastPara="0" vertOverflow="ellipsis" vert="horz" wrap="square" lIns="38100" tIns="19050" rIns="38100" bIns="19050" anchor="ctr" anchorCtr="true"/>
              <a:lstStyle/>
              <a:p>
                <a:pPr>
                  <a:defRPr lang="zh-CN" sz="1000" b="0" i="0" u="none" strike="noStrike" kern="1200" baseline="0">
                    <a:solidFill>
                      <a:schemeClr val="tx1"/>
                    </a:solidFill>
                    <a:latin typeface="+mn-lt"/>
                    <a:ea typeface="+mn-ea"/>
                    <a:cs typeface="+mn-cs"/>
                  </a:defRPr>
                </a:pPr>
              </a:p>
            </c:txPr>
            <c:dLblPos val="bestFit"/>
            <c:showLegendKey val="false"/>
            <c:showVal val="false"/>
            <c:showCatName val="true"/>
            <c:showSerName val="false"/>
            <c:showPercent val="true"/>
            <c:showBubbleSize val="false"/>
            <c:showLeaderLines val="true"/>
            <c:extLst>
              <c:ext xmlns:c15="http://schemas.microsoft.com/office/drawing/2012/chart" uri="{CE6537A1-D6FC-4f65-9D91-7224C49458BB}">
                <c15:layout/>
                <c15:showLeaderLines val="true"/>
                <c15:leaderLines/>
              </c:ext>
            </c:extLst>
          </c:dLbls>
          <c:cat>
            <c:strRef>
              <c:f>用水!$F$33:$L$33</c:f>
              <c:strCache>
                <c:ptCount val="7"/>
                <c:pt idx="0">
                  <c:v>农林牧渔</c:v>
                </c:pt>
                <c:pt idx="1">
                  <c:v>牲畜</c:v>
                </c:pt>
                <c:pt idx="2">
                  <c:v>一般工业</c:v>
                </c:pt>
                <c:pt idx="3">
                  <c:v>城镇公共</c:v>
                </c:pt>
                <c:pt idx="4">
                  <c:v>城镇居民生活</c:v>
                </c:pt>
                <c:pt idx="5">
                  <c:v>农村居民生活</c:v>
                </c:pt>
                <c:pt idx="6">
                  <c:v>生态环境</c:v>
                </c:pt>
              </c:strCache>
            </c:strRef>
          </c:cat>
          <c:val>
            <c:numRef>
              <c:f>用水!$F$34:$L$34</c:f>
              <c:numCache>
                <c:formatCode>0;_ÿ</c:formatCode>
                <c:ptCount val="7"/>
                <c:pt idx="0">
                  <c:v>64761.00204</c:v>
                </c:pt>
                <c:pt idx="1">
                  <c:v>1069</c:v>
                </c:pt>
                <c:pt idx="2">
                  <c:v>4719.17010288517</c:v>
                </c:pt>
                <c:pt idx="3">
                  <c:v>2406.97612020392</c:v>
                </c:pt>
                <c:pt idx="4">
                  <c:v>6522.1843003413</c:v>
                </c:pt>
                <c:pt idx="5">
                  <c:v>5804.97287131589</c:v>
                </c:pt>
                <c:pt idx="6">
                  <c:v>1139</c:v>
                </c:pt>
              </c:numCache>
            </c:numRef>
          </c:val>
        </c:ser>
        <c:dLbls>
          <c:showLegendKey val="false"/>
          <c:showVal val="false"/>
          <c:showCatName val="true"/>
          <c:showSerName val="false"/>
          <c:showPercent val="true"/>
          <c:showBubbleSize val="false"/>
          <c:showLeaderLines val="true"/>
        </c:dLbls>
        <c:firstSliceAng val="15"/>
      </c:pieChart>
      <c:spPr>
        <a:noFill/>
        <a:ln>
          <a:noFill/>
        </a:ln>
        <a:effectLst/>
      </c:spPr>
    </c:plotArea>
    <c:plotVisOnly val="true"/>
    <c:dispBlanksAs val="gap"/>
    <c:showDLblsOverMax val="false"/>
  </c:chart>
  <c:txPr>
    <a:bodyPr/>
    <a:lstStyle/>
    <a:p>
      <a:pPr>
        <a:defRPr lang="zh-CN"/>
      </a:pPr>
    </a:p>
  </c:txPr>
  <c:externalData r:id="rId1">
    <c:autoUpdate val="false"/>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false"/>
  <c:lang val="zh-CN"/>
  <c:roundedCorners val="false"/>
  <mc:AlternateContent xmlns:mc="http://schemas.openxmlformats.org/markup-compatibility/2006">
    <mc:Choice xmlns:c14="http://schemas.microsoft.com/office/drawing/2007/8/2/chart" Requires="c14">
      <c14:style val="102"/>
    </mc:Choice>
    <mc:Fallback>
      <c:style val="2"/>
    </mc:Fallback>
  </mc:AlternateContent>
  <c:chart>
    <c:autoTitleDeleted val="true"/>
    <c:plotArea>
      <c:layout>
        <c:manualLayout>
          <c:layoutTarget val="inner"/>
          <c:xMode val="edge"/>
          <c:yMode val="edge"/>
          <c:x val="0.1076948714744"/>
          <c:y val="0.103475625546807"/>
          <c:w val="0.88175594717327"/>
          <c:h val="0.762103377077865"/>
        </c:manualLayout>
      </c:layout>
      <c:barChart>
        <c:barDir val="col"/>
        <c:grouping val="stacked"/>
        <c:varyColors val="false"/>
        <c:ser>
          <c:idx val="0"/>
          <c:order val="0"/>
          <c:tx>
            <c:strRef>
              <c:f>供水!$J$87</c:f>
              <c:strCache>
                <c:ptCount val="1"/>
                <c:pt idx="0">
                  <c:v>农业</c:v>
                </c:pt>
              </c:strCache>
            </c:strRef>
          </c:tx>
          <c:invertIfNegative val="false"/>
          <c:dLbls>
            <c:delete val="true"/>
          </c:dLbls>
          <c:cat>
            <c:strRef>
              <c:f>供水!$E$88:$E$95</c:f>
              <c:strCache>
                <c:ptCount val="8"/>
                <c:pt idx="0">
                  <c:v>吉首市</c:v>
                </c:pt>
                <c:pt idx="1">
                  <c:v>泸溪县</c:v>
                </c:pt>
                <c:pt idx="2">
                  <c:v>凤凰县</c:v>
                </c:pt>
                <c:pt idx="3">
                  <c:v>花垣县</c:v>
                </c:pt>
                <c:pt idx="4">
                  <c:v>保靖县</c:v>
                </c:pt>
                <c:pt idx="5">
                  <c:v>古丈县</c:v>
                </c:pt>
                <c:pt idx="6">
                  <c:v>永顺县</c:v>
                </c:pt>
                <c:pt idx="7">
                  <c:v>龙山县</c:v>
                </c:pt>
              </c:strCache>
            </c:strRef>
          </c:cat>
          <c:val>
            <c:numRef>
              <c:f>供水!$J$88:$J$95</c:f>
              <c:numCache>
                <c:formatCode>0_ </c:formatCode>
                <c:ptCount val="8"/>
                <c:pt idx="0">
                  <c:v>5560</c:v>
                </c:pt>
                <c:pt idx="1">
                  <c:v>7744.32260000001</c:v>
                </c:pt>
                <c:pt idx="2">
                  <c:v>10828</c:v>
                </c:pt>
                <c:pt idx="3">
                  <c:v>8218.78664</c:v>
                </c:pt>
                <c:pt idx="4">
                  <c:v>7456.561</c:v>
                </c:pt>
                <c:pt idx="5">
                  <c:v>3653</c:v>
                </c:pt>
                <c:pt idx="6">
                  <c:v>14110.3318</c:v>
                </c:pt>
                <c:pt idx="7">
                  <c:v>8259</c:v>
                </c:pt>
              </c:numCache>
            </c:numRef>
          </c:val>
        </c:ser>
        <c:ser>
          <c:idx val="1"/>
          <c:order val="1"/>
          <c:tx>
            <c:strRef>
              <c:f>供水!$K$87</c:f>
              <c:strCache>
                <c:ptCount val="1"/>
                <c:pt idx="0">
                  <c:v>工业</c:v>
                </c:pt>
              </c:strCache>
            </c:strRef>
          </c:tx>
          <c:invertIfNegative val="false"/>
          <c:dLbls>
            <c:delete val="true"/>
          </c:dLbls>
          <c:cat>
            <c:strRef>
              <c:f>供水!$E$88:$E$95</c:f>
              <c:strCache>
                <c:ptCount val="8"/>
                <c:pt idx="0">
                  <c:v>吉首市</c:v>
                </c:pt>
                <c:pt idx="1">
                  <c:v>泸溪县</c:v>
                </c:pt>
                <c:pt idx="2">
                  <c:v>凤凰县</c:v>
                </c:pt>
                <c:pt idx="3">
                  <c:v>花垣县</c:v>
                </c:pt>
                <c:pt idx="4">
                  <c:v>保靖县</c:v>
                </c:pt>
                <c:pt idx="5">
                  <c:v>古丈县</c:v>
                </c:pt>
                <c:pt idx="6">
                  <c:v>永顺县</c:v>
                </c:pt>
                <c:pt idx="7">
                  <c:v>龙山县</c:v>
                </c:pt>
              </c:strCache>
            </c:strRef>
          </c:cat>
          <c:val>
            <c:numRef>
              <c:f>供水!$K$88:$K$95</c:f>
              <c:numCache>
                <c:formatCode>0_ </c:formatCode>
                <c:ptCount val="8"/>
                <c:pt idx="0">
                  <c:v>1669.50475139952</c:v>
                </c:pt>
                <c:pt idx="1">
                  <c:v>579.238386564647</c:v>
                </c:pt>
                <c:pt idx="2">
                  <c:v>321.799103647024</c:v>
                </c:pt>
                <c:pt idx="3">
                  <c:v>610.59317102256</c:v>
                </c:pt>
                <c:pt idx="4">
                  <c:v>581.988806253936</c:v>
                </c:pt>
                <c:pt idx="5">
                  <c:v>196.379965815364</c:v>
                </c:pt>
                <c:pt idx="6">
                  <c:v>369.656406240684</c:v>
                </c:pt>
                <c:pt idx="7">
                  <c:v>390.009511941437</c:v>
                </c:pt>
              </c:numCache>
            </c:numRef>
          </c:val>
        </c:ser>
        <c:ser>
          <c:idx val="2"/>
          <c:order val="2"/>
          <c:tx>
            <c:strRef>
              <c:f>供水!$L$87</c:f>
              <c:strCache>
                <c:ptCount val="1"/>
                <c:pt idx="0">
                  <c:v>居民生活</c:v>
                </c:pt>
              </c:strCache>
            </c:strRef>
          </c:tx>
          <c:invertIfNegative val="false"/>
          <c:dLbls>
            <c:delete val="true"/>
          </c:dLbls>
          <c:cat>
            <c:strRef>
              <c:f>供水!$E$88:$E$95</c:f>
              <c:strCache>
                <c:ptCount val="8"/>
                <c:pt idx="0">
                  <c:v>吉首市</c:v>
                </c:pt>
                <c:pt idx="1">
                  <c:v>泸溪县</c:v>
                </c:pt>
                <c:pt idx="2">
                  <c:v>凤凰县</c:v>
                </c:pt>
                <c:pt idx="3">
                  <c:v>花垣县</c:v>
                </c:pt>
                <c:pt idx="4">
                  <c:v>保靖县</c:v>
                </c:pt>
                <c:pt idx="5">
                  <c:v>古丈县</c:v>
                </c:pt>
                <c:pt idx="6">
                  <c:v>永顺县</c:v>
                </c:pt>
                <c:pt idx="7">
                  <c:v>龙山县</c:v>
                </c:pt>
              </c:strCache>
            </c:strRef>
          </c:cat>
          <c:val>
            <c:numRef>
              <c:f>供水!$L$88:$L$95</c:f>
              <c:numCache>
                <c:formatCode>0_ </c:formatCode>
                <c:ptCount val="8"/>
                <c:pt idx="0">
                  <c:v>1745.7583710333</c:v>
                </c:pt>
                <c:pt idx="1">
                  <c:v>1318.34119312278</c:v>
                </c:pt>
                <c:pt idx="2">
                  <c:v>1573.6932838997</c:v>
                </c:pt>
                <c:pt idx="3">
                  <c:v>1270.99581185355</c:v>
                </c:pt>
                <c:pt idx="4">
                  <c:v>1289.04991688548</c:v>
                </c:pt>
                <c:pt idx="5">
                  <c:v>589.778056838095</c:v>
                </c:pt>
                <c:pt idx="6">
                  <c:v>2015.00854378636</c:v>
                </c:pt>
                <c:pt idx="7">
                  <c:v>2524.53199423793</c:v>
                </c:pt>
              </c:numCache>
            </c:numRef>
          </c:val>
        </c:ser>
        <c:ser>
          <c:idx val="3"/>
          <c:order val="3"/>
          <c:tx>
            <c:strRef>
              <c:f>供水!$M$87</c:f>
              <c:strCache>
                <c:ptCount val="1"/>
                <c:pt idx="0">
                  <c:v>城镇公共</c:v>
                </c:pt>
              </c:strCache>
            </c:strRef>
          </c:tx>
          <c:invertIfNegative val="false"/>
          <c:dLbls>
            <c:delete val="true"/>
          </c:dLbls>
          <c:cat>
            <c:strRef>
              <c:f>供水!$E$88:$E$95</c:f>
              <c:strCache>
                <c:ptCount val="8"/>
                <c:pt idx="0">
                  <c:v>吉首市</c:v>
                </c:pt>
                <c:pt idx="1">
                  <c:v>泸溪县</c:v>
                </c:pt>
                <c:pt idx="2">
                  <c:v>凤凰县</c:v>
                </c:pt>
                <c:pt idx="3">
                  <c:v>花垣县</c:v>
                </c:pt>
                <c:pt idx="4">
                  <c:v>保靖县</c:v>
                </c:pt>
                <c:pt idx="5">
                  <c:v>古丈县</c:v>
                </c:pt>
                <c:pt idx="6">
                  <c:v>永顺县</c:v>
                </c:pt>
                <c:pt idx="7">
                  <c:v>龙山县</c:v>
                </c:pt>
              </c:strCache>
            </c:strRef>
          </c:cat>
          <c:val>
            <c:numRef>
              <c:f>供水!$M$88:$M$95</c:f>
              <c:numCache>
                <c:formatCode>0_ </c:formatCode>
                <c:ptCount val="8"/>
                <c:pt idx="0">
                  <c:v>655.950821806087</c:v>
                </c:pt>
                <c:pt idx="1">
                  <c:v>223.109305832649</c:v>
                </c:pt>
                <c:pt idx="2">
                  <c:v>363.843277271113</c:v>
                </c:pt>
                <c:pt idx="3">
                  <c:v>226.273885773336</c:v>
                </c:pt>
                <c:pt idx="4">
                  <c:v>224.993779227668</c:v>
                </c:pt>
                <c:pt idx="5">
                  <c:v>90.1075108852447</c:v>
                </c:pt>
                <c:pt idx="6">
                  <c:v>304.114476379219</c:v>
                </c:pt>
                <c:pt idx="7">
                  <c:v>318.583063028599</c:v>
                </c:pt>
              </c:numCache>
            </c:numRef>
          </c:val>
        </c:ser>
        <c:ser>
          <c:idx val="4"/>
          <c:order val="4"/>
          <c:tx>
            <c:strRef>
              <c:f>供水!$N$87</c:f>
              <c:strCache>
                <c:ptCount val="1"/>
                <c:pt idx="0">
                  <c:v>生态环境</c:v>
                </c:pt>
              </c:strCache>
            </c:strRef>
          </c:tx>
          <c:invertIfNegative val="false"/>
          <c:dLbls>
            <c:delete val="true"/>
          </c:dLbls>
          <c:cat>
            <c:strRef>
              <c:f>供水!$E$88:$E$95</c:f>
              <c:strCache>
                <c:ptCount val="8"/>
                <c:pt idx="0">
                  <c:v>吉首市</c:v>
                </c:pt>
                <c:pt idx="1">
                  <c:v>泸溪县</c:v>
                </c:pt>
                <c:pt idx="2">
                  <c:v>凤凰县</c:v>
                </c:pt>
                <c:pt idx="3">
                  <c:v>花垣县</c:v>
                </c:pt>
                <c:pt idx="4">
                  <c:v>保靖县</c:v>
                </c:pt>
                <c:pt idx="5">
                  <c:v>古丈县</c:v>
                </c:pt>
                <c:pt idx="6">
                  <c:v>永顺县</c:v>
                </c:pt>
                <c:pt idx="7">
                  <c:v>龙山县</c:v>
                </c:pt>
              </c:strCache>
            </c:strRef>
          </c:cat>
          <c:val>
            <c:numRef>
              <c:f>供水!$N$88:$N$95</c:f>
              <c:numCache>
                <c:formatCode>0_ </c:formatCode>
                <c:ptCount val="8"/>
                <c:pt idx="0">
                  <c:v>340</c:v>
                </c:pt>
                <c:pt idx="1">
                  <c:v>106</c:v>
                </c:pt>
                <c:pt idx="2">
                  <c:v>104</c:v>
                </c:pt>
                <c:pt idx="3">
                  <c:v>195</c:v>
                </c:pt>
                <c:pt idx="4">
                  <c:v>54</c:v>
                </c:pt>
                <c:pt idx="5">
                  <c:v>29</c:v>
                </c:pt>
                <c:pt idx="6">
                  <c:v>101</c:v>
                </c:pt>
                <c:pt idx="7">
                  <c:v>210</c:v>
                </c:pt>
              </c:numCache>
            </c:numRef>
          </c:val>
        </c:ser>
        <c:dLbls>
          <c:showLegendKey val="false"/>
          <c:showVal val="false"/>
          <c:showCatName val="false"/>
          <c:showSerName val="false"/>
          <c:showPercent val="false"/>
          <c:showBubbleSize val="false"/>
        </c:dLbls>
        <c:gapWidth val="75"/>
        <c:overlap val="100"/>
        <c:axId val="54983680"/>
        <c:axId val="258069632"/>
      </c:barChart>
      <c:catAx>
        <c:axId val="54983680"/>
        <c:scaling>
          <c:orientation val="minMax"/>
        </c:scaling>
        <c:delete val="false"/>
        <c:axPos val="b"/>
        <c:title>
          <c:tx>
            <c:rich>
              <a:bodyPr rot="0" spcFirstLastPara="0" vertOverflow="ellipsis" vert="horz" wrap="square" anchor="ctr" anchorCtr="true"/>
              <a:lstStyle/>
              <a:p>
                <a:pPr>
                  <a:defRPr lang="zh-CN" sz="1000" b="1" i="0" u="none" strike="noStrike" kern="1200" baseline="0">
                    <a:solidFill>
                      <a:schemeClr val="tx1"/>
                    </a:solidFill>
                    <a:latin typeface="+mn-lt"/>
                    <a:ea typeface="+mn-ea"/>
                    <a:cs typeface="+mn-cs"/>
                  </a:defRPr>
                </a:pPr>
                <a:r>
                  <a:rPr lang="zh-CN" altLang="en-US"/>
                  <a:t>用水量：万</a:t>
                </a:r>
                <a:r>
                  <a:rPr lang="en-US" altLang="zh-CN"/>
                  <a:t>m</a:t>
                </a:r>
                <a:r>
                  <a:rPr lang="en-US" altLang="zh-CN" baseline="30000"/>
                  <a:t>3</a:t>
                </a:r>
                <a:endParaRPr lang="zh-CN" altLang="en-US" baseline="30000"/>
              </a:p>
            </c:rich>
          </c:tx>
          <c:layout>
            <c:manualLayout>
              <c:xMode val="edge"/>
              <c:yMode val="edge"/>
              <c:x val="0.0334408198975128"/>
              <c:y val="0.0757406124234471"/>
            </c:manualLayout>
          </c:layout>
          <c:overlay val="false"/>
        </c:title>
        <c:majorTickMark val="none"/>
        <c:minorTickMark val="none"/>
        <c:tickLblPos val="nextTo"/>
        <c:txPr>
          <a:bodyPr rot="-60000000" spcFirstLastPara="0" vertOverflow="ellipsis" vert="horz" wrap="square" anchor="ctr" anchorCtr="true"/>
          <a:lstStyle/>
          <a:p>
            <a:pPr>
              <a:defRPr lang="zh-CN" sz="1000" b="0" i="0" u="none" strike="noStrike" kern="1200" baseline="0">
                <a:solidFill>
                  <a:schemeClr val="tx1"/>
                </a:solidFill>
                <a:latin typeface="+mn-lt"/>
                <a:ea typeface="+mn-ea"/>
                <a:cs typeface="+mn-cs"/>
              </a:defRPr>
            </a:pPr>
          </a:p>
        </c:txPr>
        <c:crossAx val="258069632"/>
        <c:crosses val="autoZero"/>
        <c:auto val="true"/>
        <c:lblAlgn val="ctr"/>
        <c:lblOffset val="100"/>
        <c:noMultiLvlLbl val="false"/>
      </c:catAx>
      <c:valAx>
        <c:axId val="258069632"/>
        <c:scaling>
          <c:orientation val="minMax"/>
        </c:scaling>
        <c:delete val="false"/>
        <c:axPos val="l"/>
        <c:numFmt formatCode="0_ " sourceLinked="true"/>
        <c:majorTickMark val="out"/>
        <c:minorTickMark val="none"/>
        <c:tickLblPos val="nextTo"/>
        <c:txPr>
          <a:bodyPr rot="-60000000" spcFirstLastPara="0" vertOverflow="ellipsis" vert="horz" wrap="square" anchor="ctr" anchorCtr="true"/>
          <a:lstStyle/>
          <a:p>
            <a:pPr>
              <a:defRPr lang="zh-CN" sz="1000" b="0" i="0" u="none" strike="noStrike" kern="1200" baseline="0">
                <a:solidFill>
                  <a:schemeClr val="tx1"/>
                </a:solidFill>
                <a:latin typeface="+mn-lt"/>
                <a:ea typeface="+mn-ea"/>
                <a:cs typeface="+mn-cs"/>
              </a:defRPr>
            </a:pPr>
          </a:p>
        </c:txPr>
        <c:crossAx val="54983680"/>
        <c:crosses val="autoZero"/>
        <c:crossBetween val="between"/>
      </c:valAx>
      <c:spPr>
        <a:solidFill>
          <a:schemeClr val="bg1"/>
        </a:solidFill>
        <a:ln>
          <a:noFill/>
        </a:ln>
        <a:effectLst/>
      </c:spPr>
    </c:plotArea>
    <c:legend>
      <c:legendPos val="r"/>
      <c:layout>
        <c:manualLayout>
          <c:xMode val="edge"/>
          <c:yMode val="edge"/>
          <c:x val="0.434953464150315"/>
          <c:y val="0.0761518810148731"/>
          <c:w val="0.548115318918468"/>
          <c:h val="0.0868073490813649"/>
        </c:manualLayout>
      </c:layout>
      <c:overlay val="false"/>
      <c:txPr>
        <a:bodyPr rot="0" spcFirstLastPara="0" vertOverflow="ellipsis" vert="horz" wrap="square" anchor="ctr" anchorCtr="true"/>
        <a:lstStyle/>
        <a:p>
          <a:pPr>
            <a:defRPr lang="zh-CN" sz="1000" b="0" i="0" u="none" strike="noStrike" kern="1200" baseline="0">
              <a:solidFill>
                <a:schemeClr val="tx1"/>
              </a:solidFill>
              <a:latin typeface="+mn-lt"/>
              <a:ea typeface="+mn-ea"/>
              <a:cs typeface="+mn-cs"/>
            </a:defRPr>
          </a:pPr>
        </a:p>
      </c:txPr>
    </c:legend>
    <c:plotVisOnly val="true"/>
    <c:dispBlanksAs val="gap"/>
    <c:showDLblsOverMax val="false"/>
  </c:chart>
  <c:txPr>
    <a:bodyPr/>
    <a:lstStyle/>
    <a:p>
      <a:pPr>
        <a:defRPr lang="zh-CN"/>
      </a:pPr>
    </a:p>
  </c:txPr>
  <c:externalData r:id="rId1">
    <c:autoUpdate val="false"/>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false"/>
  <c:lang val="zh-CN"/>
  <c:roundedCorners val="false"/>
  <mc:AlternateContent xmlns:mc="http://schemas.openxmlformats.org/markup-compatibility/2006">
    <mc:Choice xmlns:c14="http://schemas.microsoft.com/office/drawing/2007/8/2/chart" Requires="c14">
      <c14:style val="102"/>
    </mc:Choice>
    <mc:Fallback>
      <c:style val="2"/>
    </mc:Fallback>
  </mc:AlternateContent>
  <c:chart>
    <c:autoTitleDeleted val="true"/>
    <c:plotArea>
      <c:layout>
        <c:manualLayout>
          <c:layoutTarget val="inner"/>
          <c:xMode val="edge"/>
          <c:yMode val="edge"/>
          <c:x val="0.167536051403789"/>
          <c:y val="0.0560301837270341"/>
          <c:w val="0.770993354002086"/>
          <c:h val="0.793317658209391"/>
        </c:manualLayout>
      </c:layout>
      <c:barChart>
        <c:barDir val="col"/>
        <c:grouping val="clustered"/>
        <c:varyColors val="false"/>
        <c:ser>
          <c:idx val="0"/>
          <c:order val="0"/>
          <c:tx>
            <c:strRef>
              <c:f>用水!$J$75</c:f>
              <c:strCache>
                <c:ptCount val="1"/>
                <c:pt idx="0">
                  <c:v>用水量</c:v>
                </c:pt>
              </c:strCache>
            </c:strRef>
          </c:tx>
          <c:invertIfNegative val="false"/>
          <c:dLbls>
            <c:delete val="true"/>
          </c:dLbls>
          <c:cat>
            <c:strRef>
              <c:f>用水!$D$76:$D$83</c:f>
              <c:strCache>
                <c:ptCount val="8"/>
                <c:pt idx="0">
                  <c:v>吉首市</c:v>
                </c:pt>
                <c:pt idx="1">
                  <c:v>泸溪县</c:v>
                </c:pt>
                <c:pt idx="2">
                  <c:v>凤凰县</c:v>
                </c:pt>
                <c:pt idx="3">
                  <c:v>花垣县</c:v>
                </c:pt>
                <c:pt idx="4">
                  <c:v>保靖县</c:v>
                </c:pt>
                <c:pt idx="5">
                  <c:v>古丈县</c:v>
                </c:pt>
                <c:pt idx="6">
                  <c:v>永顺县</c:v>
                </c:pt>
                <c:pt idx="7">
                  <c:v>龙山县</c:v>
                </c:pt>
              </c:strCache>
            </c:strRef>
          </c:cat>
          <c:val>
            <c:numRef>
              <c:f>用水!$J$76:$J$83</c:f>
              <c:numCache>
                <c:formatCode>0.00_ </c:formatCode>
                <c:ptCount val="8"/>
                <c:pt idx="0">
                  <c:v>0.997121394423893</c:v>
                </c:pt>
                <c:pt idx="1">
                  <c:v>0.997101148552006</c:v>
                </c:pt>
                <c:pt idx="2">
                  <c:v>1.31913356648179</c:v>
                </c:pt>
                <c:pt idx="3">
                  <c:v>1.05216495086494</c:v>
                </c:pt>
                <c:pt idx="4">
                  <c:v>0.96065935023671</c:v>
                </c:pt>
                <c:pt idx="5">
                  <c:v>0.455826553353872</c:v>
                </c:pt>
                <c:pt idx="6">
                  <c:v>1.72701112264063</c:v>
                </c:pt>
                <c:pt idx="7">
                  <c:v>1.1332124569208</c:v>
                </c:pt>
              </c:numCache>
            </c:numRef>
          </c:val>
        </c:ser>
        <c:ser>
          <c:idx val="1"/>
          <c:order val="1"/>
          <c:tx>
            <c:strRef>
              <c:f>用水!$K$75</c:f>
              <c:strCache>
                <c:ptCount val="1"/>
                <c:pt idx="0">
                  <c:v>耗水量</c:v>
                </c:pt>
              </c:strCache>
            </c:strRef>
          </c:tx>
          <c:invertIfNegative val="false"/>
          <c:dLbls>
            <c:delete val="true"/>
          </c:dLbls>
          <c:cat>
            <c:strRef>
              <c:f>用水!$D$76:$D$83</c:f>
              <c:strCache>
                <c:ptCount val="8"/>
                <c:pt idx="0">
                  <c:v>吉首市</c:v>
                </c:pt>
                <c:pt idx="1">
                  <c:v>泸溪县</c:v>
                </c:pt>
                <c:pt idx="2">
                  <c:v>凤凰县</c:v>
                </c:pt>
                <c:pt idx="3">
                  <c:v>花垣县</c:v>
                </c:pt>
                <c:pt idx="4">
                  <c:v>保靖县</c:v>
                </c:pt>
                <c:pt idx="5">
                  <c:v>古丈县</c:v>
                </c:pt>
                <c:pt idx="6">
                  <c:v>永顺县</c:v>
                </c:pt>
                <c:pt idx="7">
                  <c:v>龙山县</c:v>
                </c:pt>
              </c:strCache>
            </c:strRef>
          </c:cat>
          <c:val>
            <c:numRef>
              <c:f>用水!$K$76:$K$83</c:f>
              <c:numCache>
                <c:formatCode>General</c:formatCode>
                <c:ptCount val="8"/>
                <c:pt idx="0">
                  <c:v>0.47</c:v>
                </c:pt>
                <c:pt idx="1">
                  <c:v>0.49</c:v>
                </c:pt>
                <c:pt idx="2">
                  <c:v>0.650000000000002</c:v>
                </c:pt>
                <c:pt idx="3">
                  <c:v>0.56</c:v>
                </c:pt>
                <c:pt idx="4">
                  <c:v>0.44</c:v>
                </c:pt>
                <c:pt idx="5">
                  <c:v>0.23</c:v>
                </c:pt>
                <c:pt idx="6">
                  <c:v>0.860000000000001</c:v>
                </c:pt>
                <c:pt idx="7">
                  <c:v>0.59</c:v>
                </c:pt>
              </c:numCache>
            </c:numRef>
          </c:val>
        </c:ser>
        <c:dLbls>
          <c:showLegendKey val="false"/>
          <c:showVal val="false"/>
          <c:showCatName val="false"/>
          <c:showSerName val="false"/>
          <c:showPercent val="false"/>
          <c:showBubbleSize val="false"/>
        </c:dLbls>
        <c:gapWidth val="150"/>
        <c:axId val="258520576"/>
        <c:axId val="258522496"/>
      </c:barChart>
      <c:catAx>
        <c:axId val="258520576"/>
        <c:scaling>
          <c:orientation val="minMax"/>
        </c:scaling>
        <c:delete val="false"/>
        <c:axPos val="b"/>
        <c:title>
          <c:tx>
            <c:rich>
              <a:bodyPr rot="0" spcFirstLastPara="0" vertOverflow="ellipsis" vert="horz" wrap="square" anchor="ctr" anchorCtr="true"/>
              <a:lstStyle/>
              <a:p>
                <a:pPr>
                  <a:defRPr lang="zh-CN" sz="1000" b="1" i="0" u="none" strike="noStrike" kern="1200" baseline="0">
                    <a:solidFill>
                      <a:schemeClr val="tx1"/>
                    </a:solidFill>
                    <a:latin typeface="+mn-lt"/>
                    <a:ea typeface="+mn-ea"/>
                    <a:cs typeface="+mn-cs"/>
                  </a:defRPr>
                </a:pPr>
                <a:r>
                  <a:rPr lang="zh-CN" altLang="en-US"/>
                  <a:t>水量：亿</a:t>
                </a:r>
                <a:r>
                  <a:rPr lang="en-US" altLang="zh-CN"/>
                  <a:t>m</a:t>
                </a:r>
                <a:r>
                  <a:rPr lang="en-US" altLang="zh-CN" baseline="30000"/>
                  <a:t>3</a:t>
                </a:r>
                <a:endParaRPr lang="zh-CN" altLang="en-US" baseline="30000"/>
              </a:p>
            </c:rich>
          </c:tx>
          <c:layout>
            <c:manualLayout>
              <c:xMode val="edge"/>
              <c:yMode val="edge"/>
              <c:x val="0.0989929388974652"/>
              <c:y val="0.0179625984251968"/>
            </c:manualLayout>
          </c:layout>
          <c:overlay val="false"/>
        </c:title>
        <c:majorTickMark val="out"/>
        <c:minorTickMark val="none"/>
        <c:tickLblPos val="nextTo"/>
        <c:txPr>
          <a:bodyPr rot="-60000000" spcFirstLastPara="0" vertOverflow="ellipsis" vert="horz" wrap="square" anchor="ctr" anchorCtr="true"/>
          <a:lstStyle/>
          <a:p>
            <a:pPr>
              <a:defRPr lang="zh-CN" sz="1000" b="0" i="0" u="none" strike="noStrike" kern="1200" baseline="0">
                <a:solidFill>
                  <a:schemeClr val="tx1"/>
                </a:solidFill>
                <a:latin typeface="+mn-lt"/>
                <a:ea typeface="+mn-ea"/>
                <a:cs typeface="+mn-cs"/>
              </a:defRPr>
            </a:pPr>
          </a:p>
        </c:txPr>
        <c:crossAx val="258522496"/>
        <c:crosses val="autoZero"/>
        <c:auto val="true"/>
        <c:lblAlgn val="ctr"/>
        <c:lblOffset val="100"/>
        <c:noMultiLvlLbl val="false"/>
      </c:catAx>
      <c:valAx>
        <c:axId val="258522496"/>
        <c:scaling>
          <c:orientation val="minMax"/>
        </c:scaling>
        <c:delete val="false"/>
        <c:axPos val="l"/>
        <c:numFmt formatCode="0.00_ " sourceLinked="true"/>
        <c:majorTickMark val="out"/>
        <c:minorTickMark val="none"/>
        <c:tickLblPos val="nextTo"/>
        <c:txPr>
          <a:bodyPr rot="-60000000" spcFirstLastPara="0" vertOverflow="ellipsis" vert="horz" wrap="square" anchor="ctr" anchorCtr="true"/>
          <a:lstStyle/>
          <a:p>
            <a:pPr>
              <a:defRPr lang="zh-CN" sz="1000" b="0" i="0" u="none" strike="noStrike" kern="1200" baseline="0">
                <a:solidFill>
                  <a:schemeClr val="tx1"/>
                </a:solidFill>
                <a:latin typeface="+mn-lt"/>
                <a:ea typeface="+mn-ea"/>
                <a:cs typeface="+mn-cs"/>
              </a:defRPr>
            </a:pPr>
          </a:p>
        </c:txPr>
        <c:crossAx val="258520576"/>
        <c:crosses val="autoZero"/>
        <c:crossBetween val="between"/>
      </c:valAx>
      <c:spPr>
        <a:solidFill>
          <a:schemeClr val="bg1"/>
        </a:solidFill>
        <a:ln>
          <a:noFill/>
        </a:ln>
        <a:effectLst/>
      </c:spPr>
    </c:plotArea>
    <c:legend>
      <c:legendPos val="r"/>
      <c:layout>
        <c:manualLayout>
          <c:xMode val="edge"/>
          <c:yMode val="edge"/>
          <c:x val="0.516783112160404"/>
          <c:y val="0.0273939195100614"/>
          <c:w val="0.347027980645748"/>
          <c:h val="0.102619568387285"/>
        </c:manualLayout>
      </c:layout>
      <c:overlay val="false"/>
      <c:txPr>
        <a:bodyPr rot="0" spcFirstLastPara="0" vertOverflow="ellipsis" vert="horz" wrap="square" anchor="ctr" anchorCtr="true"/>
        <a:lstStyle/>
        <a:p>
          <a:pPr>
            <a:defRPr lang="zh-CN" sz="1000" b="0" i="0" u="none" strike="noStrike" kern="1200" baseline="0">
              <a:solidFill>
                <a:schemeClr val="tx1"/>
              </a:solidFill>
              <a:latin typeface="+mn-lt"/>
              <a:ea typeface="+mn-ea"/>
              <a:cs typeface="+mn-cs"/>
            </a:defRPr>
          </a:pPr>
        </a:p>
      </c:txPr>
    </c:legend>
    <c:plotVisOnly val="true"/>
    <c:dispBlanksAs val="gap"/>
    <c:showDLblsOverMax val="false"/>
  </c:chart>
  <c:txPr>
    <a:bodyPr/>
    <a:lstStyle/>
    <a:p>
      <a:pPr>
        <a:defRPr lang="zh-CN"/>
      </a:pPr>
    </a:p>
  </c:txPr>
  <c:externalData r:id="rId1">
    <c:autoUpdate val="false"/>
  </c:externalData>
</c:chartSpac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true">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false"/>
        </a:gradFill>
        <a:gradFill rotWithShape="true">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false"/>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true">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false"/>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26</Pages>
  <Words>1848</Words>
  <Characters>10536</Characters>
  <Lines>87</Lines>
  <Paragraphs>24</Paragraphs>
  <TotalTime>38</TotalTime>
  <ScaleCrop>false</ScaleCrop>
  <LinksUpToDate>false</LinksUpToDate>
  <CharactersWithSpaces>12360</CharactersWithSpaces>
  <Application>WPS Office_11.8.2.10251_F1E327BC-269C-435d-A152-05C5408002CA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2021-12-30T03:20:00Z</dcterms:created>
  <dc:creator>24213</dc:creator>
  <cp:lastModifiedBy>greatwall</cp:lastModifiedBy>
  <cp:lastPrinted>2022-04-08T09:18:00Z</cp:lastPrinted>
  <dcterms:modified xsi:type="dcterms:W3CDTF">2025-05-27T15:18:53Z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2052-11.8.2.10251</vt:lpwstr>
  </property>
</Properties>
</file>