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pStyle w:val="11"/>
        <w:ind w:firstLine="640"/>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湘西土家族苗族自治州水电规划院</w:t>
      </w: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3</w:t>
      </w:r>
      <w:r>
        <w:rPr>
          <w:rFonts w:hint="eastAsia" w:ascii="方正小标宋简体" w:hAnsi="方正小标宋简体" w:eastAsia="方正小标宋简体" w:cs="方正小标宋简体"/>
          <w:sz w:val="48"/>
          <w:szCs w:val="48"/>
        </w:rPr>
        <w:t>年度部门整体支出绩效自评报告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44"/>
          <w:szCs w:val="44"/>
        </w:rPr>
      </w:pPr>
    </w:p>
    <w:p>
      <w:pPr>
        <w:spacing w:line="600" w:lineRule="exact"/>
        <w:ind w:firstLine="880" w:firstLineChars="200"/>
        <w:jc w:val="center"/>
        <w:rPr>
          <w:rFonts w:eastAsia="黑体"/>
          <w:sz w:val="44"/>
          <w:szCs w:val="44"/>
        </w:rPr>
      </w:pPr>
    </w:p>
    <w:p>
      <w:pPr>
        <w:spacing w:line="600" w:lineRule="exact"/>
        <w:ind w:firstLine="360" w:firstLineChars="100"/>
        <w:rPr>
          <w:rFonts w:eastAsia="黑体"/>
          <w:sz w:val="30"/>
          <w:szCs w:val="30"/>
        </w:rPr>
      </w:pPr>
      <w:r>
        <w:rPr>
          <w:rFonts w:hint="eastAsia" w:eastAsia="黑体"/>
          <w:sz w:val="36"/>
          <w:szCs w:val="36"/>
        </w:rPr>
        <w:t>部门</w:t>
      </w:r>
      <w:r>
        <w:rPr>
          <w:rFonts w:eastAsia="黑体"/>
          <w:sz w:val="36"/>
          <w:szCs w:val="36"/>
        </w:rPr>
        <w:t>名称（</w:t>
      </w:r>
      <w:r>
        <w:rPr>
          <w:rFonts w:hint="eastAsia" w:eastAsia="黑体"/>
          <w:sz w:val="36"/>
          <w:szCs w:val="36"/>
        </w:rPr>
        <w:t>公</w:t>
      </w:r>
      <w:r>
        <w:rPr>
          <w:rFonts w:eastAsia="黑体"/>
          <w:sz w:val="36"/>
          <w:szCs w:val="36"/>
        </w:rPr>
        <w:t>章）：</w:t>
      </w:r>
      <w:r>
        <w:rPr>
          <w:rFonts w:hint="eastAsia" w:eastAsia="仿宋_GB2312"/>
          <w:sz w:val="30"/>
          <w:szCs w:val="30"/>
          <w:u w:val="single"/>
        </w:rPr>
        <w:t>湘西土家族苗族自治州水利水电规划院</w:t>
      </w:r>
    </w:p>
    <w:p>
      <w:pPr>
        <w:spacing w:line="600" w:lineRule="exact"/>
        <w:ind w:firstLine="360" w:firstLineChars="100"/>
        <w:rPr>
          <w:rFonts w:eastAsia="黑体"/>
          <w:sz w:val="36"/>
          <w:szCs w:val="36"/>
          <w:u w:val="single"/>
        </w:rPr>
      </w:pPr>
      <w:r>
        <w:rPr>
          <w:rFonts w:hint="eastAsia" w:eastAsia="黑体"/>
          <w:sz w:val="36"/>
          <w:szCs w:val="36"/>
        </w:rPr>
        <w:t>预  算   编  码：</w:t>
      </w:r>
      <w:r>
        <w:rPr>
          <w:rFonts w:hint="eastAsia" w:eastAsia="黑体"/>
          <w:sz w:val="36"/>
          <w:szCs w:val="36"/>
          <w:u w:val="single"/>
        </w:rPr>
        <w:t xml:space="preserve">         </w:t>
      </w:r>
      <w:r>
        <w:rPr>
          <w:rFonts w:hint="eastAsia" w:eastAsia="仿宋_GB2312"/>
          <w:sz w:val="32"/>
          <w:szCs w:val="32"/>
          <w:u w:val="single"/>
        </w:rPr>
        <w:t>403008</w:t>
      </w:r>
      <w:r>
        <w:rPr>
          <w:rFonts w:hint="eastAsia" w:eastAsia="黑体"/>
          <w:sz w:val="36"/>
          <w:szCs w:val="36"/>
          <w:u w:val="single"/>
        </w:rPr>
        <w:t xml:space="preserve">           </w:t>
      </w:r>
    </w:p>
    <w:p>
      <w:pPr>
        <w:spacing w:line="600" w:lineRule="exact"/>
        <w:jc w:val="center"/>
        <w:rPr>
          <w:rFonts w:eastAsia="黑体"/>
          <w:sz w:val="36"/>
          <w:szCs w:val="36"/>
        </w:rPr>
      </w:pPr>
    </w:p>
    <w:p>
      <w:pPr>
        <w:spacing w:before="120" w:beforeLines="50" w:line="348" w:lineRule="auto"/>
        <w:ind w:firstLine="480" w:firstLineChars="150"/>
        <w:rPr>
          <w:rFonts w:hint="eastAsia" w:eastAsia="仿宋_GB2312"/>
          <w:sz w:val="32"/>
          <w:szCs w:val="32"/>
        </w:rPr>
      </w:pPr>
    </w:p>
    <w:p>
      <w:pPr>
        <w:spacing w:before="120" w:beforeLines="50" w:line="348" w:lineRule="auto"/>
        <w:ind w:firstLine="480" w:firstLineChars="150"/>
        <w:rPr>
          <w:rFonts w:hint="eastAsia" w:eastAsia="仿宋_GB2312"/>
          <w:sz w:val="32"/>
          <w:szCs w:val="32"/>
        </w:rPr>
      </w:pPr>
      <w:r>
        <w:rPr>
          <w:rFonts w:hint="eastAsia" w:eastAsia="仿宋_GB2312"/>
          <w:sz w:val="32"/>
          <w:szCs w:val="32"/>
        </w:rPr>
        <w:t>评价方式：湘西土家族苗族自治州水利水电规划院绩效自评</w:t>
      </w:r>
    </w:p>
    <w:p>
      <w:pPr>
        <w:spacing w:before="120" w:beforeLines="50" w:line="348" w:lineRule="auto"/>
        <w:ind w:firstLine="480" w:firstLineChars="150"/>
        <w:rPr>
          <w:rFonts w:hint="eastAsia" w:eastAsia="仿宋_GB2312" w:cs="Arial"/>
          <w:sz w:val="28"/>
          <w:szCs w:val="28"/>
        </w:rPr>
      </w:pPr>
      <w:r>
        <w:rPr>
          <w:rFonts w:hint="eastAsia" w:eastAsia="仿宋_GB2312"/>
          <w:sz w:val="32"/>
          <w:szCs w:val="32"/>
        </w:rPr>
        <w:t xml:space="preserve">评价机构：湘西土家族苗族自治州水利水电规划院评价组 </w:t>
      </w:r>
    </w:p>
    <w:p>
      <w:pPr>
        <w:ind w:firstLine="420" w:firstLineChars="150"/>
        <w:jc w:val="left"/>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eastAsia="仿宋_GB2312" w:cs="Arial"/>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报告时间：</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6 </w:t>
      </w:r>
      <w:r>
        <w:rPr>
          <w:rFonts w:hint="eastAsia" w:ascii="仿宋_GB2312" w:hAnsi="仿宋_GB2312" w:eastAsia="仿宋_GB2312" w:cs="仿宋_GB2312"/>
          <w:sz w:val="28"/>
          <w:szCs w:val="28"/>
        </w:rPr>
        <w:t>月</w:t>
      </w:r>
    </w:p>
    <w:p>
      <w:pPr>
        <w:spacing w:line="540" w:lineRule="exact"/>
        <w:jc w:val="left"/>
        <w:rPr>
          <w:rFonts w:hint="eastAsia" w:eastAsia="黑体" w:cs="Arial"/>
          <w:sz w:val="32"/>
          <w:szCs w:val="32"/>
          <w:shd w:val="clear" w:color="auto" w:fill="FFFFFF"/>
        </w:rPr>
      </w:pPr>
    </w:p>
    <w:tbl>
      <w:tblPr>
        <w:tblStyle w:val="12"/>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811"/>
        <w:gridCol w:w="269"/>
        <w:gridCol w:w="826"/>
        <w:gridCol w:w="529"/>
        <w:gridCol w:w="1346"/>
        <w:gridCol w:w="1215"/>
        <w:gridCol w:w="226"/>
        <w:gridCol w:w="58"/>
        <w:gridCol w:w="136"/>
        <w:gridCol w:w="1064"/>
        <w:gridCol w:w="542"/>
        <w:gridCol w:w="139"/>
        <w:gridCol w:w="9"/>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黑体" w:cs="黑体"/>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联系人</w:t>
            </w:r>
          </w:p>
        </w:tc>
        <w:tc>
          <w:tcPr>
            <w:tcW w:w="3827"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杨燕林</w:t>
            </w:r>
          </w:p>
        </w:tc>
        <w:tc>
          <w:tcPr>
            <w:tcW w:w="1215"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联系电话</w:t>
            </w:r>
          </w:p>
        </w:tc>
        <w:tc>
          <w:tcPr>
            <w:tcW w:w="3106" w:type="dxa"/>
            <w:gridSpan w:val="8"/>
            <w:noWrap w:val="0"/>
            <w:vAlign w:val="center"/>
          </w:tcPr>
          <w:p>
            <w:pPr>
              <w:autoSpaceDN w:val="0"/>
              <w:spacing w:line="320" w:lineRule="exact"/>
              <w:jc w:val="center"/>
              <w:textAlignment w:val="center"/>
              <w:rPr>
                <w:rFonts w:eastAsia="仿宋_GB2312" w:cs="仿宋_GB2312"/>
                <w:sz w:val="24"/>
              </w:rPr>
            </w:pPr>
            <w:r>
              <w:rPr>
                <w:rFonts w:hint="eastAsia" w:ascii="仿宋" w:hAnsi="仿宋" w:eastAsia="仿宋" w:cs="仿宋"/>
                <w:sz w:val="28"/>
                <w:szCs w:val="28"/>
              </w:rPr>
              <w:t>0743-8715801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人员编制</w:t>
            </w:r>
          </w:p>
        </w:tc>
        <w:tc>
          <w:tcPr>
            <w:tcW w:w="3827" w:type="dxa"/>
            <w:gridSpan w:val="6"/>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20</w:t>
            </w:r>
          </w:p>
        </w:tc>
        <w:tc>
          <w:tcPr>
            <w:tcW w:w="1215"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实有人数</w:t>
            </w:r>
          </w:p>
        </w:tc>
        <w:tc>
          <w:tcPr>
            <w:tcW w:w="3106" w:type="dxa"/>
            <w:gridSpan w:val="8"/>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rPr>
              <w:t>2</w:t>
            </w: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20"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职能职责概述</w:t>
            </w:r>
          </w:p>
        </w:tc>
        <w:tc>
          <w:tcPr>
            <w:tcW w:w="8148" w:type="dxa"/>
            <w:gridSpan w:val="15"/>
            <w:noWrap w:val="0"/>
            <w:vAlign w:val="center"/>
          </w:tcPr>
          <w:p>
            <w:pPr>
              <w:autoSpaceDN w:val="0"/>
              <w:spacing w:line="32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1、参与全州水利行业综合及专业规划编制；</w:t>
            </w:r>
          </w:p>
          <w:p>
            <w:pPr>
              <w:autoSpaceDN w:val="0"/>
              <w:spacing w:line="32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2、参与编制全州主要河流、水库、安全饮水、大中型灌区中长期规划；</w:t>
            </w:r>
          </w:p>
          <w:p>
            <w:pPr>
              <w:autoSpaceDN w:val="0"/>
              <w:spacing w:line="320" w:lineRule="exact"/>
              <w:jc w:val="left"/>
              <w:textAlignment w:val="center"/>
              <w:rPr>
                <w:rFonts w:ascii="仿宋" w:hAnsi="仿宋" w:eastAsia="仿宋" w:cs="仿宋"/>
                <w:sz w:val="28"/>
                <w:szCs w:val="28"/>
              </w:rPr>
            </w:pPr>
            <w:r>
              <w:rPr>
                <w:rFonts w:hint="eastAsia" w:ascii="仿宋" w:hAnsi="仿宋" w:eastAsia="仿宋" w:cs="仿宋"/>
                <w:sz w:val="28"/>
                <w:szCs w:val="28"/>
              </w:rPr>
              <w:t>3、承担水利科研工作；</w:t>
            </w:r>
          </w:p>
          <w:p>
            <w:pPr>
              <w:autoSpaceDN w:val="0"/>
              <w:spacing w:line="320" w:lineRule="exact"/>
              <w:jc w:val="left"/>
              <w:textAlignment w:val="center"/>
              <w:rPr>
                <w:rFonts w:hint="eastAsia" w:eastAsia="仿宋_GB2312" w:cs="仿宋_GB2312"/>
                <w:sz w:val="24"/>
              </w:rPr>
            </w:pPr>
            <w:r>
              <w:rPr>
                <w:rFonts w:hint="eastAsia" w:ascii="仿宋" w:hAnsi="仿宋" w:eastAsia="仿宋" w:cs="仿宋"/>
                <w:sz w:val="28"/>
                <w:szCs w:val="28"/>
              </w:rPr>
              <w:t>4、完成上级主管部门交办的其他事项。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51"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年度主要</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工作内容</w:t>
            </w:r>
          </w:p>
        </w:tc>
        <w:tc>
          <w:tcPr>
            <w:tcW w:w="8148" w:type="dxa"/>
            <w:gridSpan w:val="15"/>
            <w:noWrap w:val="0"/>
            <w:vAlign w:val="center"/>
          </w:tcPr>
          <w:p>
            <w:pPr>
              <w:spacing w:line="260" w:lineRule="exact"/>
              <w:jc w:val="left"/>
              <w:rPr>
                <w:rFonts w:hint="eastAsia" w:eastAsia="仿宋_GB2312"/>
              </w:rPr>
            </w:pPr>
            <w:r>
              <w:rPr>
                <w:rFonts w:hint="eastAsia"/>
              </w:rPr>
              <w:t>1、</w:t>
            </w:r>
            <w:r>
              <w:rPr>
                <w:rFonts w:hint="eastAsia" w:eastAsia="仿宋_GB2312"/>
              </w:rPr>
              <w:t>抓好思想教育工作。提升站位，以党史学习教育为抓手，抓好规划院职工思想教育，引导干部职工管理早日纳入局机关整体管理。</w:t>
            </w:r>
          </w:p>
          <w:p>
            <w:pPr>
              <w:spacing w:line="260" w:lineRule="exact"/>
              <w:jc w:val="left"/>
              <w:rPr>
                <w:rFonts w:hint="eastAsia" w:eastAsia="仿宋_GB2312"/>
              </w:rPr>
            </w:pPr>
            <w:r>
              <w:rPr>
                <w:rFonts w:hint="eastAsia" w:eastAsia="仿宋_GB2312"/>
              </w:rPr>
              <w:t>2、做好后勤保障衔接；</w:t>
            </w:r>
          </w:p>
          <w:p>
            <w:pPr>
              <w:spacing w:line="260" w:lineRule="exact"/>
              <w:jc w:val="left"/>
              <w:rPr>
                <w:rFonts w:hint="eastAsia" w:eastAsia="仿宋_GB2312"/>
              </w:rPr>
            </w:pPr>
            <w:r>
              <w:rPr>
                <w:rFonts w:hint="eastAsia" w:eastAsia="仿宋_GB2312"/>
              </w:rPr>
              <w:t>3、负责防汛抗旱、评审技术咨询；</w:t>
            </w:r>
          </w:p>
          <w:p>
            <w:pPr>
              <w:spacing w:line="260" w:lineRule="exact"/>
              <w:jc w:val="left"/>
              <w:rPr>
                <w:rFonts w:hint="eastAsia" w:eastAsia="仿宋_GB2312"/>
              </w:rPr>
            </w:pPr>
            <w:r>
              <w:rPr>
                <w:rFonts w:hint="eastAsia" w:eastAsia="仿宋_GB2312"/>
              </w:rPr>
              <w:t>4：配合州水利局推进水利工程项目建设；</w:t>
            </w:r>
          </w:p>
          <w:p>
            <w:pPr>
              <w:spacing w:line="260" w:lineRule="exact"/>
              <w:jc w:val="left"/>
              <w:rPr>
                <w:rFonts w:hint="eastAsia" w:eastAsia="仿宋_GB2312"/>
              </w:rPr>
            </w:pPr>
            <w:r>
              <w:rPr>
                <w:rFonts w:hint="eastAsia" w:eastAsia="仿宋_GB2312"/>
              </w:rPr>
              <w:t>5：配合州水利局完成规划计划工作；</w:t>
            </w:r>
          </w:p>
          <w:p>
            <w:pPr>
              <w:spacing w:line="260" w:lineRule="exact"/>
              <w:jc w:val="left"/>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35"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年度部门（单位）总体运行情况及取得的成绩</w:t>
            </w:r>
          </w:p>
        </w:tc>
        <w:tc>
          <w:tcPr>
            <w:tcW w:w="8148" w:type="dxa"/>
            <w:gridSpan w:val="15"/>
            <w:noWrap w:val="0"/>
            <w:vAlign w:val="center"/>
          </w:tcPr>
          <w:p>
            <w:pPr>
              <w:ind w:firstLine="640" w:firstLineChars="200"/>
              <w:rPr>
                <w:rFonts w:ascii="仿宋" w:hAnsi="仿宋" w:eastAsia="仿宋"/>
                <w:sz w:val="32"/>
                <w:szCs w:val="32"/>
              </w:rPr>
            </w:pPr>
            <w:r>
              <w:rPr>
                <w:rFonts w:hint="eastAsia" w:ascii="仿宋" w:hAnsi="仿宋" w:eastAsia="仿宋"/>
                <w:sz w:val="32"/>
                <w:szCs w:val="32"/>
              </w:rPr>
              <w:t>1、政治思想工作。</w:t>
            </w:r>
          </w:p>
          <w:p>
            <w:pPr>
              <w:ind w:firstLine="640" w:firstLineChars="200"/>
              <w:rPr>
                <w:rFonts w:hint="eastAsia" w:ascii="仿宋" w:hAnsi="仿宋" w:eastAsia="仿宋"/>
                <w:sz w:val="32"/>
                <w:szCs w:val="32"/>
              </w:rPr>
            </w:pPr>
            <w:r>
              <w:rPr>
                <w:rFonts w:hint="eastAsia" w:ascii="仿宋" w:hAnsi="仿宋" w:eastAsia="仿宋"/>
                <w:sz w:val="32"/>
                <w:szCs w:val="32"/>
              </w:rPr>
              <w:t>规划院全体同志能积极参加局里组织的各种集中政治理论学习，并且平时能抽时间、挤时间，坚持看理论书，特别是学习了《习近平谈治国理政》第四卷等学习书籍，作好学习笔记和撰写心得体会，大家每天坚持学习《学习强国》，浏览主要新闻网页、关注新闻动态，在思想上、行动上与局党组保持高度一致。党员同志能积极参加各自的党支部学习。另外，规划院依托局机关，持续做好州级文明单位创建工作。</w:t>
            </w:r>
          </w:p>
          <w:p>
            <w:pPr>
              <w:ind w:firstLine="640" w:firstLineChars="200"/>
              <w:rPr>
                <w:rFonts w:hint="eastAsia" w:ascii="仿宋" w:hAnsi="仿宋" w:eastAsia="仿宋"/>
                <w:sz w:val="32"/>
                <w:szCs w:val="32"/>
              </w:rPr>
            </w:pPr>
            <w:r>
              <w:rPr>
                <w:rFonts w:hint="eastAsia" w:ascii="仿宋" w:hAnsi="仿宋" w:eastAsia="仿宋"/>
                <w:sz w:val="32"/>
                <w:szCs w:val="32"/>
              </w:rPr>
              <w:t>2、立足新的工作岗位，认真做好各项工作。</w:t>
            </w:r>
          </w:p>
          <w:p>
            <w:pPr>
              <w:ind w:firstLine="640" w:firstLineChars="200"/>
              <w:rPr>
                <w:rFonts w:hint="eastAsia" w:ascii="仿宋" w:hAnsi="仿宋" w:eastAsia="仿宋"/>
                <w:sz w:val="32"/>
                <w:szCs w:val="32"/>
              </w:rPr>
            </w:pPr>
            <w:r>
              <w:rPr>
                <w:rFonts w:hint="eastAsia" w:ascii="仿宋" w:hAnsi="仿宋" w:eastAsia="仿宋"/>
                <w:sz w:val="32"/>
                <w:szCs w:val="32"/>
              </w:rPr>
              <w:t>根据工作需要和局里的调配，规划院的同志分别被分配到水旱灾害防御中心、水利综合服务中心、水资源科、计财科、建管科、评审中心、大兴寨指挥部、办公室、工会等相关科室，大家都能服务分配，在新的工作岗位做到认真负责完成好各自的工作，全年院里的同志参与了全州防汛、抗旱、安全生产大排查、项目评审工作，全州雨水情及大坝安全监测招标工作，乡村振兴联系村联系干部等工作，规划院同志能做到服从局党组的统一安排，在工作中工作能做到态度积极，责任心强，能充分发挥专业知识应对实际发现的问题，能提出好的建议和看法，对解决问题起到了很好的指导作用和效果。</w:t>
            </w:r>
          </w:p>
          <w:p>
            <w:pPr>
              <w:spacing w:line="260" w:lineRule="exact"/>
              <w:jc w:val="left"/>
              <w:rPr>
                <w:rFonts w:hint="eastAsia" w:eastAsia="仿宋_GB2312"/>
              </w:rPr>
            </w:pPr>
          </w:p>
          <w:p>
            <w:pPr>
              <w:spacing w:line="260" w:lineRule="exact"/>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黑体" w:cs="黑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机构名称</w:t>
            </w:r>
          </w:p>
        </w:tc>
        <w:tc>
          <w:tcPr>
            <w:tcW w:w="1080"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收入合计</w:t>
            </w:r>
          </w:p>
        </w:tc>
        <w:tc>
          <w:tcPr>
            <w:tcW w:w="7022" w:type="dxa"/>
            <w:gridSpan w:val="1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noWrap w:val="0"/>
            <w:vAlign w:val="center"/>
          </w:tcPr>
          <w:p>
            <w:pPr>
              <w:autoSpaceDN w:val="0"/>
              <w:spacing w:line="320" w:lineRule="exact"/>
              <w:jc w:val="center"/>
              <w:textAlignment w:val="center"/>
              <w:rPr>
                <w:rFonts w:hint="eastAsia" w:eastAsia="仿宋_GB2312" w:cs="仿宋_GB2312"/>
                <w:sz w:val="24"/>
              </w:rPr>
            </w:pPr>
          </w:p>
        </w:tc>
        <w:tc>
          <w:tcPr>
            <w:tcW w:w="108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上年结转</w:t>
            </w:r>
          </w:p>
        </w:tc>
        <w:tc>
          <w:tcPr>
            <w:tcW w:w="1346"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公共财</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政拨款</w:t>
            </w:r>
          </w:p>
        </w:tc>
        <w:tc>
          <w:tcPr>
            <w:tcW w:w="1441"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政府基金拨款</w:t>
            </w: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eastAsia="仿宋_GB2312" w:cs="仿宋_GB2312"/>
                <w:sz w:val="24"/>
              </w:rPr>
            </w:pPr>
            <w:r>
              <w:rPr>
                <w:rFonts w:hint="eastAsia" w:eastAsia="仿宋_GB2312" w:cs="仿宋_GB2312"/>
                <w:sz w:val="24"/>
              </w:rPr>
              <w:t>州水利水电规划院</w:t>
            </w:r>
          </w:p>
        </w:tc>
        <w:tc>
          <w:tcPr>
            <w:tcW w:w="1080" w:type="dxa"/>
            <w:gridSpan w:val="2"/>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471.44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rPr>
              <w:t>1</w:t>
            </w:r>
            <w:r>
              <w:rPr>
                <w:rFonts w:hint="eastAsia" w:eastAsia="仿宋_GB2312" w:cs="仿宋_GB2312"/>
                <w:sz w:val="24"/>
                <w:lang w:val="en-US" w:eastAsia="zh-CN"/>
              </w:rPr>
              <w:t>1.51</w:t>
            </w:r>
          </w:p>
        </w:tc>
        <w:tc>
          <w:tcPr>
            <w:tcW w:w="1346" w:type="dxa"/>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459.51</w:t>
            </w:r>
          </w:p>
        </w:tc>
        <w:tc>
          <w:tcPr>
            <w:tcW w:w="1441" w:type="dxa"/>
            <w:gridSpan w:val="2"/>
            <w:noWrap w:val="0"/>
            <w:vAlign w:val="center"/>
          </w:tcPr>
          <w:p>
            <w:pPr>
              <w:autoSpaceDN w:val="0"/>
              <w:spacing w:line="320" w:lineRule="exact"/>
              <w:jc w:val="center"/>
              <w:textAlignment w:val="center"/>
              <w:rPr>
                <w:rFonts w:hint="eastAsia" w:eastAsia="仿宋_GB2312" w:cs="仿宋_GB2312"/>
                <w:sz w:val="24"/>
              </w:rPr>
            </w:pPr>
          </w:p>
        </w:tc>
        <w:tc>
          <w:tcPr>
            <w:tcW w:w="1800" w:type="dxa"/>
            <w:gridSpan w:val="4"/>
            <w:noWrap w:val="0"/>
            <w:vAlign w:val="center"/>
          </w:tcPr>
          <w:p>
            <w:pPr>
              <w:autoSpaceDN w:val="0"/>
              <w:spacing w:line="320" w:lineRule="exact"/>
              <w:jc w:val="center"/>
              <w:textAlignment w:val="center"/>
              <w:rPr>
                <w:rFonts w:hint="eastAsia" w:eastAsia="仿宋_GB2312" w:cs="仿宋_GB2312"/>
                <w:sz w:val="24"/>
              </w:rPr>
            </w:pPr>
          </w:p>
        </w:tc>
        <w:tc>
          <w:tcPr>
            <w:tcW w:w="1080" w:type="dxa"/>
            <w:gridSpan w:val="3"/>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noWrap w:val="0"/>
            <w:vAlign w:val="center"/>
          </w:tcPr>
          <w:p>
            <w:pPr>
              <w:snapToGrid w:val="0"/>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支出合计</w:t>
            </w:r>
          </w:p>
        </w:tc>
        <w:tc>
          <w:tcPr>
            <w:tcW w:w="5400" w:type="dxa"/>
            <w:gridSpan w:val="8"/>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622"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基本支出</w:t>
            </w:r>
          </w:p>
        </w:tc>
        <w:tc>
          <w:tcPr>
            <w:tcW w:w="2845" w:type="dxa"/>
            <w:gridSpan w:val="4"/>
            <w:tcBorders>
              <w:top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c>
          <w:tcPr>
            <w:tcW w:w="1200"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项目支出</w:t>
            </w:r>
          </w:p>
        </w:tc>
        <w:tc>
          <w:tcPr>
            <w:tcW w:w="69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当年结余</w:t>
            </w:r>
          </w:p>
        </w:tc>
        <w:tc>
          <w:tcPr>
            <w:tcW w:w="932"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46"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人员支出</w:t>
            </w:r>
          </w:p>
        </w:tc>
        <w:tc>
          <w:tcPr>
            <w:tcW w:w="1499" w:type="dxa"/>
            <w:gridSpan w:val="3"/>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公用支出</w:t>
            </w:r>
          </w:p>
        </w:tc>
        <w:tc>
          <w:tcPr>
            <w:tcW w:w="120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69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932" w:type="dxa"/>
            <w:vMerge w:val="continue"/>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州水利水电规划院</w:t>
            </w:r>
          </w:p>
        </w:tc>
        <w:tc>
          <w:tcPr>
            <w:tcW w:w="1080" w:type="dxa"/>
            <w:gridSpan w:val="2"/>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471.44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471.44</w:t>
            </w:r>
          </w:p>
        </w:tc>
        <w:tc>
          <w:tcPr>
            <w:tcW w:w="1346" w:type="dxa"/>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436.74</w:t>
            </w:r>
          </w:p>
        </w:tc>
        <w:tc>
          <w:tcPr>
            <w:tcW w:w="1499" w:type="dxa"/>
            <w:gridSpan w:val="3"/>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34.70</w:t>
            </w:r>
          </w:p>
        </w:tc>
        <w:tc>
          <w:tcPr>
            <w:tcW w:w="1200" w:type="dxa"/>
            <w:gridSpan w:val="2"/>
            <w:noWrap w:val="0"/>
            <w:vAlign w:val="center"/>
          </w:tcPr>
          <w:p>
            <w:pPr>
              <w:autoSpaceDN w:val="0"/>
              <w:spacing w:line="320" w:lineRule="exact"/>
              <w:jc w:val="center"/>
              <w:textAlignment w:val="center"/>
              <w:rPr>
                <w:rFonts w:hint="eastAsia" w:eastAsia="仿宋_GB2312" w:cs="仿宋_GB2312"/>
                <w:sz w:val="24"/>
                <w:lang w:eastAsia="zh-CN"/>
              </w:rPr>
            </w:pPr>
            <w:r>
              <w:rPr>
                <w:rFonts w:hint="eastAsia" w:eastAsia="仿宋_GB2312" w:cs="仿宋_GB2312"/>
                <w:sz w:val="24"/>
                <w:lang w:val="en-US" w:eastAsia="zh-CN"/>
              </w:rPr>
              <w:t>0</w:t>
            </w:r>
          </w:p>
        </w:tc>
        <w:tc>
          <w:tcPr>
            <w:tcW w:w="690" w:type="dxa"/>
            <w:gridSpan w:val="3"/>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0</w:t>
            </w:r>
          </w:p>
        </w:tc>
        <w:tc>
          <w:tcPr>
            <w:tcW w:w="932" w:type="dxa"/>
            <w:tcBorders>
              <w:left w:val="single" w:color="auto" w:sz="4" w:space="0"/>
            </w:tcBorders>
            <w:noWrap w:val="0"/>
            <w:vAlign w:val="center"/>
          </w:tcPr>
          <w:p>
            <w:pPr>
              <w:autoSpaceDN w:val="0"/>
              <w:spacing w:line="320" w:lineRule="exact"/>
              <w:jc w:val="center"/>
              <w:textAlignment w:val="center"/>
              <w:rPr>
                <w:rFonts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noWrap w:val="0"/>
            <w:vAlign w:val="center"/>
          </w:tcPr>
          <w:p>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三公经费</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公务接待费</w:t>
            </w:r>
          </w:p>
        </w:tc>
        <w:tc>
          <w:tcPr>
            <w:tcW w:w="1346"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公务用车运行维护费</w:t>
            </w:r>
          </w:p>
        </w:tc>
        <w:tc>
          <w:tcPr>
            <w:tcW w:w="1499" w:type="dxa"/>
            <w:gridSpan w:val="3"/>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公务用车购置费</w:t>
            </w:r>
          </w:p>
        </w:tc>
        <w:tc>
          <w:tcPr>
            <w:tcW w:w="2822"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因公出国（</w:t>
            </w:r>
            <w:r>
              <w:rPr>
                <w:rFonts w:hint="eastAsia" w:cs="宋体"/>
                <w:sz w:val="24"/>
              </w:rPr>
              <w:t>境）</w:t>
            </w:r>
            <w:r>
              <w:rPr>
                <w:rFonts w:hint="eastAsia" w:eastAsia="仿宋_GB2312" w:cs="仿宋_GB2312"/>
                <w:sz w:val="24"/>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州水利水电规划院</w:t>
            </w:r>
          </w:p>
        </w:tc>
        <w:tc>
          <w:tcPr>
            <w:tcW w:w="1080" w:type="dxa"/>
            <w:gridSpan w:val="2"/>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4.42</w:t>
            </w:r>
          </w:p>
        </w:tc>
        <w:tc>
          <w:tcPr>
            <w:tcW w:w="1355" w:type="dxa"/>
            <w:gridSpan w:val="2"/>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0</w:t>
            </w:r>
          </w:p>
        </w:tc>
        <w:tc>
          <w:tcPr>
            <w:tcW w:w="1346" w:type="dxa"/>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4.42</w:t>
            </w:r>
          </w:p>
        </w:tc>
        <w:tc>
          <w:tcPr>
            <w:tcW w:w="1499" w:type="dxa"/>
            <w:gridSpan w:val="3"/>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c>
          <w:tcPr>
            <w:tcW w:w="2822" w:type="dxa"/>
            <w:gridSpan w:val="6"/>
            <w:noWrap w:val="0"/>
            <w:vAlign w:val="center"/>
          </w:tcPr>
          <w:p>
            <w:pPr>
              <w:autoSpaceDN w:val="0"/>
              <w:spacing w:line="320" w:lineRule="exact"/>
              <w:jc w:val="center"/>
              <w:textAlignment w:val="center"/>
              <w:rPr>
                <w:rFonts w:hint="eastAsia" w:eastAsia="仿宋_GB2312" w:cs="仿宋_GB2312"/>
                <w:sz w:val="24"/>
                <w:lang w:val="en-US" w:eastAsia="zh-CN"/>
              </w:rPr>
            </w:pPr>
            <w:r>
              <w:rPr>
                <w:rFonts w:hint="eastAsia" w:eastAsia="仿宋_GB2312" w:cs="仿宋_GB2312"/>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noWrap w:val="0"/>
            <w:vAlign w:val="center"/>
          </w:tcPr>
          <w:p>
            <w:pPr>
              <w:spacing w:line="320" w:lineRule="exact"/>
              <w:jc w:val="center"/>
              <w:rPr>
                <w:rFonts w:hint="eastAsia" w:eastAsia="仿宋_GB2312" w:cs="仿宋_GB2312"/>
                <w:sz w:val="24"/>
              </w:rPr>
            </w:pPr>
            <w:r>
              <w:rPr>
                <w:rFonts w:hint="eastAsia" w:eastAsia="仿宋_GB2312" w:cs="仿宋_GB2312"/>
                <w:sz w:val="24"/>
              </w:rPr>
              <w:t>机构名称</w:t>
            </w:r>
          </w:p>
        </w:tc>
        <w:tc>
          <w:tcPr>
            <w:tcW w:w="1080" w:type="dxa"/>
            <w:gridSpan w:val="2"/>
            <w:vMerge w:val="restart"/>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固定资产</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合计</w:t>
            </w:r>
          </w:p>
        </w:tc>
        <w:tc>
          <w:tcPr>
            <w:tcW w:w="7022" w:type="dxa"/>
            <w:gridSpan w:val="12"/>
            <w:tcBorders>
              <w:left w:val="single" w:color="auto" w:sz="4" w:space="0"/>
            </w:tcBorders>
            <w:noWrap w:val="0"/>
            <w:vAlign w:val="center"/>
          </w:tcPr>
          <w:p>
            <w:pPr>
              <w:autoSpaceDN w:val="0"/>
              <w:spacing w:line="320" w:lineRule="exact"/>
              <w:ind w:firstLine="2160" w:firstLineChars="900"/>
              <w:textAlignment w:val="center"/>
              <w:rPr>
                <w:rFonts w:hint="eastAsia" w:eastAsia="仿宋_GB2312" w:cs="仿宋_GB2312"/>
                <w:sz w:val="24"/>
              </w:rPr>
            </w:pPr>
            <w:r>
              <w:rPr>
                <w:rFonts w:hint="eastAsia" w:eastAsia="仿宋_GB2312" w:cs="仿宋_GB2312"/>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noWrap w:val="0"/>
            <w:vAlign w:val="center"/>
          </w:tcPr>
          <w:p>
            <w:pPr>
              <w:spacing w:line="320" w:lineRule="exact"/>
              <w:jc w:val="center"/>
              <w:rPr>
                <w:rFonts w:hint="eastAsia" w:eastAsia="仿宋_GB2312" w:cs="仿宋_GB2312"/>
                <w:sz w:val="24"/>
              </w:rPr>
            </w:pPr>
          </w:p>
        </w:tc>
        <w:tc>
          <w:tcPr>
            <w:tcW w:w="1080" w:type="dxa"/>
            <w:gridSpan w:val="2"/>
            <w:vMerge w:val="continue"/>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2701" w:type="dxa"/>
            <w:gridSpan w:val="3"/>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在用固定资产</w:t>
            </w:r>
          </w:p>
        </w:tc>
        <w:tc>
          <w:tcPr>
            <w:tcW w:w="3380" w:type="dxa"/>
            <w:gridSpan w:val="7"/>
            <w:tcBorders>
              <w:top w:val="single" w:color="auto" w:sz="4" w:space="0"/>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出租固定资产</w:t>
            </w:r>
          </w:p>
        </w:tc>
        <w:tc>
          <w:tcPr>
            <w:tcW w:w="941" w:type="dxa"/>
            <w:gridSpan w:val="2"/>
            <w:tcBorders>
              <w:top w:val="single" w:color="auto" w:sz="4" w:space="0"/>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noWrap w:val="0"/>
            <w:vAlign w:val="center"/>
          </w:tcPr>
          <w:p>
            <w:pPr>
              <w:spacing w:line="320" w:lineRule="exact"/>
              <w:rPr>
                <w:rFonts w:hint="eastAsia" w:eastAsia="仿宋_GB2312" w:cs="仿宋_GB2312"/>
                <w:sz w:val="24"/>
              </w:rPr>
            </w:pPr>
            <w:r>
              <w:rPr>
                <w:rFonts w:hint="eastAsia" w:eastAsia="仿宋_GB2312" w:cs="仿宋_GB2312"/>
                <w:sz w:val="24"/>
              </w:rPr>
              <w:t>州水利水电规划院</w:t>
            </w:r>
          </w:p>
        </w:tc>
        <w:tc>
          <w:tcPr>
            <w:tcW w:w="1080" w:type="dxa"/>
            <w:gridSpan w:val="2"/>
            <w:tcBorders>
              <w:righ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167.68</w:t>
            </w:r>
          </w:p>
        </w:tc>
        <w:tc>
          <w:tcPr>
            <w:tcW w:w="2701" w:type="dxa"/>
            <w:gridSpan w:val="3"/>
            <w:tcBorders>
              <w:left w:val="single" w:color="auto" w:sz="4" w:space="0"/>
            </w:tcBorders>
            <w:noWrap w:val="0"/>
            <w:vAlign w:val="center"/>
          </w:tcPr>
          <w:p>
            <w:pPr>
              <w:autoSpaceDN w:val="0"/>
              <w:spacing w:line="320" w:lineRule="exact"/>
              <w:jc w:val="center"/>
              <w:textAlignment w:val="center"/>
              <w:rPr>
                <w:rFonts w:hint="default" w:eastAsia="仿宋_GB2312" w:cs="仿宋_GB2312"/>
                <w:sz w:val="24"/>
                <w:lang w:val="en-US" w:eastAsia="zh-CN"/>
              </w:rPr>
            </w:pPr>
            <w:r>
              <w:rPr>
                <w:rFonts w:hint="eastAsia" w:eastAsia="仿宋_GB2312" w:cs="仿宋_GB2312"/>
                <w:sz w:val="24"/>
                <w:lang w:val="en-US" w:eastAsia="zh-CN"/>
              </w:rPr>
              <w:t>167.68</w:t>
            </w:r>
          </w:p>
        </w:tc>
        <w:tc>
          <w:tcPr>
            <w:tcW w:w="3380" w:type="dxa"/>
            <w:gridSpan w:val="7"/>
            <w:noWrap w:val="0"/>
            <w:vAlign w:val="center"/>
          </w:tcPr>
          <w:p>
            <w:pPr>
              <w:autoSpaceDN w:val="0"/>
              <w:spacing w:line="320" w:lineRule="exact"/>
              <w:jc w:val="center"/>
              <w:textAlignment w:val="center"/>
              <w:rPr>
                <w:rFonts w:eastAsia="仿宋_GB2312" w:cs="仿宋_GB2312"/>
                <w:sz w:val="24"/>
              </w:rPr>
            </w:pPr>
          </w:p>
        </w:tc>
        <w:tc>
          <w:tcPr>
            <w:tcW w:w="941" w:type="dxa"/>
            <w:gridSpan w:val="2"/>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黑体" w:cs="黑体"/>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整体支出绩效定性目标及实施计划完成情况</w:t>
            </w:r>
          </w:p>
        </w:tc>
        <w:tc>
          <w:tcPr>
            <w:tcW w:w="4039" w:type="dxa"/>
            <w:gridSpan w:val="7"/>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预期目标</w:t>
            </w:r>
          </w:p>
        </w:tc>
        <w:tc>
          <w:tcPr>
            <w:tcW w:w="4321" w:type="dxa"/>
            <w:gridSpan w:val="9"/>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4039" w:type="dxa"/>
            <w:gridSpan w:val="7"/>
            <w:noWrap w:val="0"/>
            <w:vAlign w:val="center"/>
          </w:tcPr>
          <w:p>
            <w:pPr>
              <w:autoSpaceDN w:val="0"/>
              <w:spacing w:line="320" w:lineRule="exact"/>
              <w:jc w:val="left"/>
              <w:textAlignment w:val="center"/>
              <w:rPr>
                <w:rFonts w:hint="eastAsia" w:eastAsia="仿宋_GB2312"/>
              </w:rPr>
            </w:pPr>
            <w:r>
              <w:rPr>
                <w:rFonts w:hint="eastAsia" w:eastAsia="仿宋_GB2312"/>
              </w:rPr>
              <w:t>目标1：抓好思想教育工作</w:t>
            </w:r>
          </w:p>
          <w:p>
            <w:pPr>
              <w:autoSpaceDN w:val="0"/>
              <w:spacing w:line="320" w:lineRule="exact"/>
              <w:jc w:val="left"/>
              <w:textAlignment w:val="center"/>
              <w:rPr>
                <w:rFonts w:hint="eastAsia" w:eastAsia="仿宋_GB2312"/>
              </w:rPr>
            </w:pPr>
            <w:r>
              <w:rPr>
                <w:rFonts w:hint="eastAsia" w:eastAsia="仿宋_GB2312"/>
              </w:rPr>
              <w:t>目标2：做好后勤保障衔接</w:t>
            </w:r>
          </w:p>
          <w:p>
            <w:pPr>
              <w:autoSpaceDN w:val="0"/>
              <w:spacing w:line="320" w:lineRule="exact"/>
              <w:jc w:val="left"/>
              <w:textAlignment w:val="center"/>
              <w:rPr>
                <w:rFonts w:hint="eastAsia" w:eastAsia="仿宋_GB2312"/>
              </w:rPr>
            </w:pPr>
            <w:r>
              <w:rPr>
                <w:rFonts w:hint="eastAsia" w:eastAsia="仿宋_GB2312"/>
              </w:rPr>
              <w:t>目标3：完成上级部门交办的其他事项。</w:t>
            </w:r>
          </w:p>
          <w:p>
            <w:pPr>
              <w:autoSpaceDN w:val="0"/>
              <w:spacing w:line="320" w:lineRule="exact"/>
              <w:jc w:val="left"/>
              <w:textAlignment w:val="center"/>
              <w:rPr>
                <w:rFonts w:hint="eastAsia" w:eastAsia="仿宋_GB2312" w:cs="仿宋_GB2312"/>
                <w:sz w:val="24"/>
              </w:rPr>
            </w:pPr>
          </w:p>
        </w:tc>
        <w:tc>
          <w:tcPr>
            <w:tcW w:w="4321" w:type="dxa"/>
            <w:gridSpan w:val="9"/>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优良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0" w:type="dxa"/>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整体支出</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绩效定量目标及实施计划完成情况</w:t>
            </w:r>
          </w:p>
        </w:tc>
        <w:tc>
          <w:tcPr>
            <w:tcW w:w="2164" w:type="dxa"/>
            <w:gridSpan w:val="5"/>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评价内容</w:t>
            </w:r>
          </w:p>
        </w:tc>
        <w:tc>
          <w:tcPr>
            <w:tcW w:w="1875" w:type="dxa"/>
            <w:gridSpan w:val="2"/>
            <w:tcBorders>
              <w:right w:val="single" w:color="auto" w:sz="4" w:space="0"/>
            </w:tcBorders>
            <w:noWrap w:val="0"/>
            <w:vAlign w:val="center"/>
          </w:tcPr>
          <w:p>
            <w:pPr>
              <w:autoSpaceDN w:val="0"/>
              <w:spacing w:line="320" w:lineRule="exact"/>
              <w:jc w:val="center"/>
              <w:textAlignment w:val="center"/>
              <w:rPr>
                <w:rFonts w:hint="eastAsia" w:eastAsia="仿宋_GB2312" w:cs="仿宋_GB2312"/>
                <w:sz w:val="24"/>
              </w:rPr>
            </w:pPr>
          </w:p>
        </w:tc>
        <w:tc>
          <w:tcPr>
            <w:tcW w:w="1635"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绩效目标</w:t>
            </w:r>
          </w:p>
        </w:tc>
        <w:tc>
          <w:tcPr>
            <w:tcW w:w="2686" w:type="dxa"/>
            <w:gridSpan w:val="5"/>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产出目标</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（部门工作实绩，包含上级部门和州委州政府布置的重点工作、实事任务等，根据部门实际进行调整细化）</w:t>
            </w:r>
          </w:p>
        </w:tc>
        <w:tc>
          <w:tcPr>
            <w:tcW w:w="1095" w:type="dxa"/>
            <w:gridSpan w:val="2"/>
            <w:vMerge w:val="restart"/>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数量、质量、时效、成本指标</w:t>
            </w:r>
          </w:p>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指标1、提供专业技术咨询</w:t>
            </w:r>
          </w:p>
        </w:tc>
        <w:tc>
          <w:tcPr>
            <w:tcW w:w="1635"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10</w:t>
            </w:r>
          </w:p>
        </w:tc>
        <w:tc>
          <w:tcPr>
            <w:tcW w:w="2686" w:type="dxa"/>
            <w:gridSpan w:val="5"/>
            <w:noWrap w:val="0"/>
            <w:vAlign w:val="center"/>
          </w:tcPr>
          <w:p>
            <w:pPr>
              <w:spacing w:line="260" w:lineRule="exact"/>
              <w:jc w:val="center"/>
              <w:rPr>
                <w:rFonts w:eastAsia="仿宋_GB2312"/>
              </w:rPr>
            </w:pPr>
            <w:r>
              <w:rPr>
                <w:rFonts w:hint="eastAsia"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rPr>
                <w:rFonts w:hint="eastAsia" w:eastAsia="仿宋_GB2312" w:cs="仿宋_GB2312"/>
                <w:sz w:val="24"/>
              </w:rPr>
            </w:pPr>
          </w:p>
        </w:tc>
        <w:tc>
          <w:tcPr>
            <w:tcW w:w="1095"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指标:2：提供专业技术服务，积极推进水利工程项目建设；</w:t>
            </w:r>
          </w:p>
        </w:tc>
        <w:tc>
          <w:tcPr>
            <w:tcW w:w="1635"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10</w:t>
            </w:r>
          </w:p>
        </w:tc>
        <w:tc>
          <w:tcPr>
            <w:tcW w:w="2686" w:type="dxa"/>
            <w:gridSpan w:val="5"/>
            <w:noWrap w:val="0"/>
            <w:vAlign w:val="center"/>
          </w:tcPr>
          <w:p>
            <w:pPr>
              <w:spacing w:line="260" w:lineRule="exact"/>
              <w:jc w:val="center"/>
              <w:rPr>
                <w:rFonts w:cs="宋体"/>
              </w:rPr>
            </w:pPr>
            <w:r>
              <w:rPr>
                <w:rFonts w:hint="eastAsia" w:cs="宋体"/>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rPr>
                <w:rFonts w:hint="eastAsia" w:eastAsia="仿宋_GB2312" w:cs="仿宋_GB2312"/>
                <w:sz w:val="24"/>
              </w:rPr>
            </w:pPr>
          </w:p>
        </w:tc>
        <w:tc>
          <w:tcPr>
            <w:tcW w:w="1095"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目标3：及时全面完成各项水利规计前期工作</w:t>
            </w:r>
          </w:p>
        </w:tc>
        <w:tc>
          <w:tcPr>
            <w:tcW w:w="1635" w:type="dxa"/>
            <w:gridSpan w:val="4"/>
            <w:tcBorders>
              <w:left w:val="single" w:color="auto" w:sz="4" w:space="0"/>
            </w:tcBorders>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8</w:t>
            </w:r>
          </w:p>
        </w:tc>
        <w:tc>
          <w:tcPr>
            <w:tcW w:w="2686" w:type="dxa"/>
            <w:gridSpan w:val="5"/>
            <w:noWrap w:val="0"/>
            <w:vAlign w:val="center"/>
          </w:tcPr>
          <w:p>
            <w:pPr>
              <w:spacing w:line="260" w:lineRule="exact"/>
              <w:jc w:val="center"/>
              <w:rPr>
                <w:rFonts w:hint="eastAsia" w:cs="宋体"/>
              </w:rPr>
            </w:pPr>
            <w:r>
              <w:rPr>
                <w:rFonts w:hint="eastAsia" w:cs="宋体"/>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rPr>
                <w:rFonts w:hint="eastAsia" w:eastAsia="仿宋_GB2312" w:cs="仿宋_GB2312"/>
                <w:sz w:val="24"/>
              </w:rPr>
            </w:pPr>
          </w:p>
        </w:tc>
        <w:tc>
          <w:tcPr>
            <w:tcW w:w="1095"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目标4：专业指导水库的防汛抗旱救灾调度及调查（次数）</w:t>
            </w:r>
          </w:p>
        </w:tc>
        <w:tc>
          <w:tcPr>
            <w:tcW w:w="1635" w:type="dxa"/>
            <w:gridSpan w:val="4"/>
            <w:tcBorders>
              <w:left w:val="single" w:color="auto" w:sz="4" w:space="0"/>
            </w:tcBorders>
            <w:noWrap w:val="0"/>
            <w:vAlign w:val="center"/>
          </w:tcPr>
          <w:p>
            <w:pPr>
              <w:autoSpaceDN w:val="0"/>
              <w:spacing w:line="320" w:lineRule="exact"/>
              <w:jc w:val="center"/>
              <w:textAlignment w:val="center"/>
              <w:rPr>
                <w:rFonts w:eastAsia="仿宋_GB2312" w:cs="仿宋_GB2312"/>
                <w:sz w:val="24"/>
              </w:rPr>
            </w:pPr>
            <w:r>
              <w:rPr>
                <w:rFonts w:hint="eastAsia" w:eastAsia="仿宋_GB2312" w:cs="仿宋_GB2312"/>
                <w:sz w:val="24"/>
              </w:rPr>
              <w:t>2</w:t>
            </w:r>
          </w:p>
        </w:tc>
        <w:tc>
          <w:tcPr>
            <w:tcW w:w="2686" w:type="dxa"/>
            <w:gridSpan w:val="5"/>
            <w:noWrap w:val="0"/>
            <w:vAlign w:val="center"/>
          </w:tcPr>
          <w:p>
            <w:pPr>
              <w:spacing w:line="260" w:lineRule="exact"/>
              <w:jc w:val="center"/>
              <w:rPr>
                <w:rFonts w:cs="宋体"/>
              </w:rPr>
            </w:pPr>
            <w:r>
              <w:rPr>
                <w:rFonts w:hint="eastAsia"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jc w:val="center"/>
              <w:textAlignment w:val="center"/>
              <w:rPr>
                <w:rFonts w:hint="eastAsia" w:eastAsia="仿宋_GB2312" w:cs="仿宋_GB2312"/>
                <w:sz w:val="24"/>
              </w:rPr>
            </w:pPr>
          </w:p>
        </w:tc>
        <w:tc>
          <w:tcPr>
            <w:tcW w:w="1095"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目标5、全面完成专业设计审查技术评审工作</w:t>
            </w:r>
          </w:p>
        </w:tc>
        <w:tc>
          <w:tcPr>
            <w:tcW w:w="1635" w:type="dxa"/>
            <w:gridSpan w:val="4"/>
            <w:tcBorders>
              <w:left w:val="single" w:color="auto" w:sz="4" w:space="0"/>
            </w:tcBorders>
            <w:noWrap w:val="0"/>
            <w:vAlign w:val="center"/>
          </w:tcPr>
          <w:p>
            <w:pPr>
              <w:spacing w:line="260" w:lineRule="exact"/>
              <w:jc w:val="center"/>
              <w:rPr>
                <w:rFonts w:eastAsia="仿宋_GB2312"/>
              </w:rPr>
            </w:pPr>
            <w:r>
              <w:rPr>
                <w:rFonts w:hint="eastAsia" w:eastAsia="仿宋_GB2312"/>
              </w:rPr>
              <w:t>10</w:t>
            </w:r>
          </w:p>
        </w:tc>
        <w:tc>
          <w:tcPr>
            <w:tcW w:w="2686" w:type="dxa"/>
            <w:gridSpan w:val="5"/>
            <w:noWrap w:val="0"/>
            <w:vAlign w:val="center"/>
          </w:tcPr>
          <w:p>
            <w:pPr>
              <w:spacing w:line="260" w:lineRule="exact"/>
              <w:jc w:val="center"/>
              <w:rPr>
                <w:rFonts w:eastAsia="仿宋_GB2312"/>
              </w:rPr>
            </w:pPr>
            <w:r>
              <w:rPr>
                <w:rFonts w:hint="eastAsia"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效益目标</w:t>
            </w:r>
          </w:p>
          <w:p>
            <w:pPr>
              <w:autoSpaceDN w:val="0"/>
              <w:spacing w:line="320" w:lineRule="exact"/>
              <w:jc w:val="center"/>
              <w:textAlignment w:val="center"/>
              <w:rPr>
                <w:rFonts w:hint="eastAsia" w:eastAsia="仿宋_GB2312" w:cs="仿宋_GB2312"/>
                <w:sz w:val="24"/>
              </w:rPr>
            </w:pPr>
            <w:r>
              <w:rPr>
                <w:rFonts w:hint="eastAsia" w:eastAsia="仿宋_GB2312" w:cs="仿宋_GB2312"/>
                <w:sz w:val="24"/>
              </w:rPr>
              <w:t>（预期实现的效益）</w:t>
            </w:r>
          </w:p>
        </w:tc>
        <w:tc>
          <w:tcPr>
            <w:tcW w:w="1095" w:type="dxa"/>
            <w:gridSpan w:val="2"/>
            <w:vMerge w:val="restart"/>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社会、经济、生态效益</w:t>
            </w: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指标1：全湘西、县域水资源发展合理性提供保障</w:t>
            </w:r>
          </w:p>
        </w:tc>
        <w:tc>
          <w:tcPr>
            <w:tcW w:w="1635" w:type="dxa"/>
            <w:gridSpan w:val="4"/>
            <w:tcBorders>
              <w:left w:val="single" w:color="auto" w:sz="4" w:space="0"/>
            </w:tcBorders>
            <w:noWrap w:val="0"/>
            <w:vAlign w:val="center"/>
          </w:tcPr>
          <w:p>
            <w:pPr>
              <w:spacing w:line="260" w:lineRule="exact"/>
              <w:jc w:val="center"/>
              <w:rPr>
                <w:rFonts w:hint="eastAsia" w:eastAsia="仿宋_GB2312"/>
              </w:rPr>
            </w:pPr>
            <w:r>
              <w:rPr>
                <w:rFonts w:hint="eastAsia" w:eastAsia="仿宋_GB2312"/>
              </w:rPr>
              <w:t>是</w:t>
            </w:r>
          </w:p>
        </w:tc>
        <w:tc>
          <w:tcPr>
            <w:tcW w:w="2686" w:type="dxa"/>
            <w:gridSpan w:val="5"/>
            <w:noWrap w:val="0"/>
            <w:vAlign w:val="center"/>
          </w:tcPr>
          <w:p>
            <w:pPr>
              <w:spacing w:line="260" w:lineRule="exact"/>
              <w:jc w:val="center"/>
              <w:rPr>
                <w:rFonts w:hint="eastAsia" w:eastAsia="仿宋_GB2312"/>
              </w:rPr>
            </w:pPr>
            <w:r>
              <w:rPr>
                <w:rFonts w:hint="eastAsia" w:eastAsia="仿宋_GB2312"/>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5"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jc w:val="center"/>
              <w:textAlignment w:val="center"/>
              <w:rPr>
                <w:rFonts w:hint="eastAsia" w:eastAsia="仿宋_GB2312" w:cs="仿宋_GB2312"/>
                <w:sz w:val="24"/>
              </w:rPr>
            </w:pPr>
          </w:p>
        </w:tc>
        <w:tc>
          <w:tcPr>
            <w:tcW w:w="1095" w:type="dxa"/>
            <w:gridSpan w:val="2"/>
            <w:vMerge w:val="continue"/>
            <w:noWrap w:val="0"/>
            <w:vAlign w:val="center"/>
          </w:tcPr>
          <w:p>
            <w:pPr>
              <w:autoSpaceDN w:val="0"/>
              <w:spacing w:line="320" w:lineRule="exact"/>
              <w:jc w:val="center"/>
              <w:textAlignment w:val="center"/>
              <w:rPr>
                <w:rFonts w:hint="eastAsia" w:eastAsia="仿宋_GB2312" w:cs="仿宋_GB2312"/>
                <w:sz w:val="24"/>
              </w:rPr>
            </w:pP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指标2：专业技术咨询，有效应对雨情旱情，促进生产，保障人民生命与财产安全</w:t>
            </w:r>
          </w:p>
        </w:tc>
        <w:tc>
          <w:tcPr>
            <w:tcW w:w="1635" w:type="dxa"/>
            <w:gridSpan w:val="4"/>
            <w:tcBorders>
              <w:left w:val="single" w:color="auto" w:sz="4" w:space="0"/>
            </w:tcBorders>
            <w:noWrap w:val="0"/>
            <w:vAlign w:val="center"/>
          </w:tcPr>
          <w:p>
            <w:pPr>
              <w:spacing w:line="260" w:lineRule="exact"/>
              <w:jc w:val="center"/>
              <w:rPr>
                <w:rFonts w:hint="eastAsia" w:eastAsia="仿宋_GB2312"/>
              </w:rPr>
            </w:pPr>
            <w:r>
              <w:rPr>
                <w:rFonts w:hint="eastAsia" w:eastAsia="仿宋_GB2312"/>
              </w:rPr>
              <w:t>是</w:t>
            </w:r>
          </w:p>
        </w:tc>
        <w:tc>
          <w:tcPr>
            <w:tcW w:w="2686" w:type="dxa"/>
            <w:gridSpan w:val="5"/>
            <w:noWrap w:val="0"/>
            <w:vAlign w:val="center"/>
          </w:tcPr>
          <w:p>
            <w:pPr>
              <w:spacing w:line="260" w:lineRule="exact"/>
              <w:jc w:val="center"/>
              <w:rPr>
                <w:rFonts w:hint="eastAsia" w:eastAsia="仿宋_GB2312"/>
              </w:rPr>
            </w:pPr>
            <w:r>
              <w:rPr>
                <w:rFonts w:hint="eastAsia" w:eastAsia="仿宋_GB2312"/>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jc w:val="center"/>
        </w:trPr>
        <w:tc>
          <w:tcPr>
            <w:tcW w:w="1440" w:type="dxa"/>
            <w:vMerge w:val="continue"/>
            <w:noWrap w:val="0"/>
            <w:vAlign w:val="center"/>
          </w:tcPr>
          <w:p>
            <w:pPr>
              <w:spacing w:line="320" w:lineRule="exact"/>
              <w:rPr>
                <w:rFonts w:hint="eastAsia" w:eastAsia="仿宋_GB2312" w:cs="仿宋_GB2312"/>
                <w:sz w:val="24"/>
              </w:rPr>
            </w:pPr>
          </w:p>
        </w:tc>
        <w:tc>
          <w:tcPr>
            <w:tcW w:w="1069" w:type="dxa"/>
            <w:gridSpan w:val="3"/>
            <w:vMerge w:val="continue"/>
            <w:noWrap w:val="0"/>
            <w:vAlign w:val="center"/>
          </w:tcPr>
          <w:p>
            <w:pPr>
              <w:autoSpaceDN w:val="0"/>
              <w:spacing w:line="320" w:lineRule="exact"/>
              <w:rPr>
                <w:rFonts w:hint="eastAsia" w:eastAsia="仿宋_GB2312" w:cs="仿宋_GB2312"/>
                <w:sz w:val="24"/>
              </w:rPr>
            </w:pPr>
          </w:p>
        </w:tc>
        <w:tc>
          <w:tcPr>
            <w:tcW w:w="1095"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社会公众或服务对象满意度</w:t>
            </w:r>
          </w:p>
        </w:tc>
        <w:tc>
          <w:tcPr>
            <w:tcW w:w="1875" w:type="dxa"/>
            <w:gridSpan w:val="2"/>
            <w:tcBorders>
              <w:right w:val="single" w:color="auto" w:sz="4" w:space="0"/>
            </w:tcBorders>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指标1：</w:t>
            </w:r>
            <w:r>
              <w:rPr>
                <w:rFonts w:hint="eastAsia" w:eastAsia="仿宋_GB2312"/>
              </w:rPr>
              <w:t>社会公众</w:t>
            </w:r>
            <w:r>
              <w:rPr>
                <w:rFonts w:eastAsia="仿宋_GB2312"/>
              </w:rPr>
              <w:t>满意度</w:t>
            </w:r>
            <w:r>
              <w:rPr>
                <w:rFonts w:hint="eastAsia" w:eastAsia="仿宋_GB2312"/>
              </w:rPr>
              <w:t>%</w:t>
            </w:r>
          </w:p>
        </w:tc>
        <w:tc>
          <w:tcPr>
            <w:tcW w:w="1635" w:type="dxa"/>
            <w:gridSpan w:val="4"/>
            <w:tcBorders>
              <w:left w:val="single" w:color="auto" w:sz="4" w:space="0"/>
            </w:tcBorders>
            <w:noWrap w:val="0"/>
            <w:vAlign w:val="center"/>
          </w:tcPr>
          <w:p>
            <w:pPr>
              <w:spacing w:line="260" w:lineRule="exact"/>
              <w:jc w:val="center"/>
            </w:pPr>
            <w:r>
              <w:rPr>
                <w:rFonts w:hint="eastAsia"/>
              </w:rPr>
              <w:t>100%</w:t>
            </w:r>
          </w:p>
        </w:tc>
        <w:tc>
          <w:tcPr>
            <w:tcW w:w="2686" w:type="dxa"/>
            <w:gridSpan w:val="5"/>
            <w:noWrap w:val="0"/>
            <w:vAlign w:val="center"/>
          </w:tcPr>
          <w:p>
            <w:pPr>
              <w:spacing w:line="260" w:lineRule="exact"/>
              <w:jc w:val="center"/>
              <w:rPr>
                <w:rFonts w:hint="eastAsia"/>
              </w:rPr>
            </w:pPr>
            <w:r>
              <w:rPr>
                <w:rFonts w:hint="eastAsia" w:cs="宋体"/>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2509" w:type="dxa"/>
            <w:gridSpan w:val="4"/>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绩效自评综合得分及评价等次</w:t>
            </w:r>
          </w:p>
        </w:tc>
        <w:tc>
          <w:tcPr>
            <w:tcW w:w="7291" w:type="dxa"/>
            <w:gridSpan w:val="13"/>
            <w:noWrap w:val="0"/>
            <w:vAlign w:val="center"/>
          </w:tcPr>
          <w:p>
            <w:pPr>
              <w:spacing w:line="320" w:lineRule="exact"/>
              <w:ind w:firstLine="630" w:firstLineChars="300"/>
              <w:rPr>
                <w:rFonts w:eastAsia="楷体_GB2312" w:cs="仿宋_GB2312"/>
                <w:sz w:val="24"/>
              </w:rPr>
            </w:pPr>
            <w:r>
              <w:rPr>
                <w:rFonts w:hint="eastAsia" w:eastAsia="楷体_GB2312"/>
              </w:rPr>
              <w:t>评分：95                            等级： 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eastAsia="仿宋_GB2312" w:cs="仿宋_GB2312"/>
                <w:sz w:val="24"/>
              </w:rPr>
            </w:pPr>
            <w:r>
              <w:rPr>
                <w:rFonts w:hint="eastAsia" w:eastAsia="黑体" w:cs="黑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姓  名</w:t>
            </w:r>
          </w:p>
        </w:tc>
        <w:tc>
          <w:tcPr>
            <w:tcW w:w="3827"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职务/职称</w:t>
            </w:r>
          </w:p>
        </w:tc>
        <w:tc>
          <w:tcPr>
            <w:tcW w:w="1215"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单  位</w:t>
            </w:r>
          </w:p>
        </w:tc>
        <w:tc>
          <w:tcPr>
            <w:tcW w:w="3106" w:type="dxa"/>
            <w:gridSpan w:val="8"/>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满益强</w:t>
            </w:r>
          </w:p>
        </w:tc>
        <w:tc>
          <w:tcPr>
            <w:tcW w:w="3827"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副院长</w:t>
            </w:r>
          </w:p>
        </w:tc>
        <w:tc>
          <w:tcPr>
            <w:tcW w:w="1215"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州水电规划院</w:t>
            </w:r>
          </w:p>
        </w:tc>
        <w:tc>
          <w:tcPr>
            <w:tcW w:w="3106" w:type="dxa"/>
            <w:gridSpan w:val="8"/>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杨燕林</w:t>
            </w:r>
          </w:p>
        </w:tc>
        <w:tc>
          <w:tcPr>
            <w:tcW w:w="3827" w:type="dxa"/>
            <w:gridSpan w:val="6"/>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出纳</w:t>
            </w:r>
          </w:p>
        </w:tc>
        <w:tc>
          <w:tcPr>
            <w:tcW w:w="1215" w:type="dxa"/>
            <w:noWrap w:val="0"/>
            <w:vAlign w:val="center"/>
          </w:tcPr>
          <w:p>
            <w:pPr>
              <w:autoSpaceDN w:val="0"/>
              <w:spacing w:line="320" w:lineRule="exact"/>
              <w:jc w:val="center"/>
              <w:textAlignment w:val="center"/>
              <w:rPr>
                <w:rFonts w:hint="eastAsia" w:eastAsia="仿宋_GB2312" w:cs="仿宋_GB2312"/>
                <w:sz w:val="24"/>
              </w:rPr>
            </w:pPr>
            <w:r>
              <w:rPr>
                <w:rFonts w:hint="eastAsia" w:eastAsia="仿宋_GB2312" w:cs="仿宋_GB2312"/>
                <w:sz w:val="24"/>
              </w:rPr>
              <w:t>州水电规划院</w:t>
            </w:r>
          </w:p>
        </w:tc>
        <w:tc>
          <w:tcPr>
            <w:tcW w:w="3106" w:type="dxa"/>
            <w:gridSpan w:val="8"/>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eastAsia="仿宋_GB2312" w:cs="仿宋_GB2312"/>
                <w:sz w:val="24"/>
              </w:rPr>
            </w:pPr>
          </w:p>
        </w:tc>
        <w:tc>
          <w:tcPr>
            <w:tcW w:w="3827" w:type="dxa"/>
            <w:gridSpan w:val="6"/>
            <w:noWrap w:val="0"/>
            <w:vAlign w:val="center"/>
          </w:tcPr>
          <w:p>
            <w:pPr>
              <w:autoSpaceDN w:val="0"/>
              <w:spacing w:line="320" w:lineRule="exact"/>
              <w:jc w:val="center"/>
              <w:textAlignment w:val="center"/>
              <w:rPr>
                <w:rFonts w:hint="eastAsia" w:eastAsia="仿宋_GB2312" w:cs="仿宋_GB2312"/>
                <w:sz w:val="24"/>
              </w:rPr>
            </w:pPr>
          </w:p>
        </w:tc>
        <w:tc>
          <w:tcPr>
            <w:tcW w:w="1215" w:type="dxa"/>
            <w:noWrap w:val="0"/>
            <w:vAlign w:val="center"/>
          </w:tcPr>
          <w:p>
            <w:pPr>
              <w:autoSpaceDN w:val="0"/>
              <w:spacing w:line="320" w:lineRule="exact"/>
              <w:jc w:val="center"/>
              <w:textAlignment w:val="center"/>
              <w:rPr>
                <w:rFonts w:hint="eastAsia" w:eastAsia="仿宋_GB2312" w:cs="仿宋_GB2312"/>
                <w:sz w:val="24"/>
              </w:rPr>
            </w:pPr>
          </w:p>
        </w:tc>
        <w:tc>
          <w:tcPr>
            <w:tcW w:w="3106" w:type="dxa"/>
            <w:gridSpan w:val="8"/>
            <w:noWrap w:val="0"/>
            <w:vAlign w:val="center"/>
          </w:tcPr>
          <w:p>
            <w:pPr>
              <w:autoSpaceDN w:val="0"/>
              <w:spacing w:line="320" w:lineRule="exact"/>
              <w:jc w:val="center"/>
              <w:textAlignment w:val="center"/>
              <w:rPr>
                <w:rFonts w:hint="eastAsia"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82" w:hRule="atLeast"/>
          <w:jc w:val="center"/>
        </w:trPr>
        <w:tc>
          <w:tcPr>
            <w:tcW w:w="9800" w:type="dxa"/>
            <w:gridSpan w:val="17"/>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评价组组长签署意见：</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ind w:firstLine="5760" w:firstLineChars="2400"/>
              <w:jc w:val="left"/>
              <w:textAlignment w:val="center"/>
              <w:rPr>
                <w:rFonts w:hint="eastAsia" w:eastAsia="仿宋_GB2312" w:cs="仿宋_GB2312"/>
                <w:sz w:val="24"/>
              </w:rPr>
            </w:pPr>
            <w:r>
              <w:rPr>
                <w:rFonts w:hint="eastAsia" w:eastAsia="仿宋_GB2312" w:cs="仿宋_GB2312"/>
                <w:sz w:val="24"/>
              </w:rPr>
              <w:t>评价组组长（签字）：</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eastAsia="仿宋_GB2312" w:cs="仿宋_GB2312"/>
                <w:sz w:val="24"/>
              </w:rPr>
            </w:pPr>
            <w:r>
              <w:rPr>
                <w:rFonts w:hint="eastAsia" w:eastAsia="仿宋_GB2312" w:cs="仿宋_GB2312"/>
                <w:sz w:val="24"/>
              </w:rPr>
              <w:t>部门（单位）意见：</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部门（单位）负责人（签字）：                部门（单位）（盖章）：</w:t>
            </w:r>
          </w:p>
          <w:p>
            <w:pPr>
              <w:autoSpaceDN w:val="0"/>
              <w:spacing w:line="320" w:lineRule="exact"/>
              <w:jc w:val="left"/>
              <w:textAlignment w:val="center"/>
              <w:rPr>
                <w:rFonts w:hint="eastAsia" w:eastAsia="仿宋_GB2312" w:cs="仿宋_GB2312"/>
                <w:sz w:val="24"/>
              </w:rPr>
            </w:pPr>
          </w:p>
          <w:p>
            <w:pPr>
              <w:autoSpaceDN w:val="0"/>
              <w:spacing w:line="320" w:lineRule="exact"/>
              <w:jc w:val="left"/>
              <w:textAlignment w:val="center"/>
              <w:rPr>
                <w:rFonts w:hint="eastAsia" w:eastAsia="仿宋_GB2312" w:cs="仿宋_GB2312"/>
                <w:sz w:val="24"/>
              </w:rPr>
            </w:pPr>
            <w:r>
              <w:rPr>
                <w:rFonts w:hint="eastAsia" w:eastAsia="仿宋_GB2312" w:cs="仿宋_GB2312"/>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财政部门归口业务科室负责人（签字）：         财政部门归口业务科室（盖章）：</w:t>
            </w:r>
          </w:p>
          <w:p>
            <w:pPr>
              <w:autoSpaceDN w:val="0"/>
              <w:spacing w:line="320" w:lineRule="exact"/>
              <w:jc w:val="left"/>
              <w:textAlignment w:val="center"/>
              <w:rPr>
                <w:rFonts w:hint="eastAsia" w:eastAsia="仿宋_GB2312"/>
                <w:sz w:val="24"/>
              </w:rPr>
            </w:pPr>
            <w:r>
              <w:rPr>
                <w:rFonts w:hint="eastAsia" w:eastAsia="仿宋_GB2312"/>
                <w:sz w:val="24"/>
              </w:rPr>
              <w:t xml:space="preserve">                                                                 </w:t>
            </w:r>
          </w:p>
          <w:p>
            <w:pPr>
              <w:autoSpaceDN w:val="0"/>
              <w:spacing w:line="320" w:lineRule="exact"/>
              <w:ind w:firstLine="7680" w:firstLineChars="3200"/>
              <w:jc w:val="left"/>
              <w:textAlignment w:val="center"/>
              <w:rPr>
                <w:rFonts w:hint="eastAsia" w:eastAsia="仿宋_GB2312" w:cs="仿宋_GB2312"/>
                <w:sz w:val="24"/>
              </w:rPr>
            </w:pPr>
            <w:r>
              <w:rPr>
                <w:rFonts w:hint="eastAsia" w:eastAsia="仿宋_GB2312"/>
                <w:sz w:val="24"/>
              </w:rPr>
              <w:t>年    月   日</w:t>
            </w:r>
          </w:p>
        </w:tc>
      </w:tr>
    </w:tbl>
    <w:tbl>
      <w:tblPr>
        <w:tblStyle w:val="12"/>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pPr>
              <w:spacing w:line="560" w:lineRule="exact"/>
              <w:jc w:val="center"/>
              <w:rPr>
                <w:rFonts w:hint="eastAsia" w:eastAsia="方正小标宋_GBK"/>
                <w:sz w:val="36"/>
                <w:szCs w:val="36"/>
              </w:rPr>
            </w:pPr>
          </w:p>
        </w:tc>
      </w:tr>
    </w:tbl>
    <w:p>
      <w:pPr>
        <w:spacing w:line="560" w:lineRule="exact"/>
        <w:jc w:val="center"/>
        <w:rPr>
          <w:rFonts w:hint="eastAsia" w:eastAsia="方正小标宋_GBK"/>
          <w:sz w:val="36"/>
          <w:szCs w:val="36"/>
        </w:rPr>
      </w:pPr>
    </w:p>
    <w:p>
      <w:pPr>
        <w:pStyle w:val="11"/>
        <w:ind w:firstLine="0" w:firstLineChars="0"/>
        <w:rPr>
          <w:rFonts w:hint="eastAsia" w:eastAsia="方正小标宋_GBK"/>
          <w:sz w:val="36"/>
          <w:szCs w:val="36"/>
        </w:rPr>
      </w:pPr>
    </w:p>
    <w:p>
      <w:pPr>
        <w:pStyle w:val="11"/>
        <w:ind w:firstLine="0" w:firstLineChars="0"/>
        <w:rPr>
          <w:rFonts w:hint="eastAsia" w:eastAsia="方正小标宋_GBK"/>
          <w:sz w:val="36"/>
          <w:szCs w:val="36"/>
        </w:rPr>
      </w:pPr>
    </w:p>
    <w:p>
      <w:pPr>
        <w:pStyle w:val="11"/>
        <w:ind w:firstLine="0" w:firstLineChars="0"/>
        <w:rPr>
          <w:rFonts w:hint="eastAsia" w:eastAsia="方正小标宋_GBK"/>
          <w:sz w:val="36"/>
          <w:szCs w:val="36"/>
        </w:rPr>
      </w:pPr>
    </w:p>
    <w:p>
      <w:pPr>
        <w:pStyle w:val="11"/>
        <w:ind w:firstLine="0" w:firstLineChars="0"/>
        <w:rPr>
          <w:rFonts w:hint="eastAsia" w:eastAsia="方正小标宋_GBK"/>
          <w:sz w:val="36"/>
          <w:szCs w:val="36"/>
        </w:rPr>
      </w:pPr>
    </w:p>
    <w:p>
      <w:pPr>
        <w:spacing w:line="700" w:lineRule="atLeast"/>
        <w:jc w:val="center"/>
        <w:rPr>
          <w:rFonts w:hint="eastAsia" w:eastAsia="方正小标宋简体" w:cs="Arial"/>
          <w:bCs/>
          <w:sz w:val="44"/>
          <w:szCs w:val="44"/>
        </w:rPr>
      </w:pPr>
      <w:r>
        <w:rPr>
          <w:rFonts w:hint="eastAsia" w:eastAsia="方正小标宋简体" w:cs="Arial"/>
          <w:bCs/>
          <w:sz w:val="44"/>
          <w:szCs w:val="44"/>
        </w:rPr>
        <w:t>湘西土家族苗族自治州水电规划院</w:t>
      </w:r>
    </w:p>
    <w:p>
      <w:pPr>
        <w:spacing w:line="700" w:lineRule="atLeast"/>
        <w:jc w:val="center"/>
        <w:rPr>
          <w:rFonts w:hint="eastAsia" w:eastAsia="方正小标宋简体" w:cs="Arial"/>
          <w:bCs/>
          <w:sz w:val="44"/>
          <w:szCs w:val="44"/>
        </w:rPr>
      </w:pPr>
      <w:r>
        <w:rPr>
          <w:rFonts w:hint="eastAsia" w:eastAsia="方正小标宋简体" w:cs="Arial"/>
          <w:bCs/>
          <w:sz w:val="44"/>
          <w:szCs w:val="44"/>
        </w:rPr>
        <w:t>整体支出绩效评价报告</w:t>
      </w:r>
    </w:p>
    <w:p>
      <w:pPr>
        <w:spacing w:line="600" w:lineRule="exact"/>
        <w:ind w:firstLine="640" w:firstLineChars="200"/>
        <w:rPr>
          <w:rFonts w:hint="eastAsia" w:eastAsia="仿宋_GB2312"/>
          <w:sz w:val="32"/>
          <w:szCs w:val="32"/>
        </w:rPr>
      </w:pPr>
      <w:r>
        <w:rPr>
          <w:rFonts w:hint="eastAsia" w:eastAsia="仿宋_GB2312"/>
          <w:sz w:val="32"/>
          <w:szCs w:val="32"/>
        </w:rPr>
        <w:t>州水利水电规划研究院为州水利局正科级独立法人二级机构、公益一类全额拨款单位，人事财务归州水利局统管，现核定编制20个，在编人员2</w:t>
      </w:r>
      <w:r>
        <w:rPr>
          <w:rFonts w:hint="eastAsia" w:eastAsia="仿宋_GB2312"/>
          <w:sz w:val="32"/>
          <w:szCs w:val="32"/>
          <w:lang w:val="en-US" w:eastAsia="zh-CN"/>
        </w:rPr>
        <w:t>0</w:t>
      </w:r>
      <w:r>
        <w:rPr>
          <w:rFonts w:hint="eastAsia" w:eastAsia="仿宋_GB2312"/>
          <w:sz w:val="32"/>
          <w:szCs w:val="32"/>
        </w:rPr>
        <w:t>人，主要从事湘西州内水利系统内各项规划及科研工作。</w:t>
      </w:r>
    </w:p>
    <w:p>
      <w:pPr>
        <w:spacing w:line="600" w:lineRule="exact"/>
        <w:ind w:firstLine="640" w:firstLineChars="200"/>
        <w:rPr>
          <w:rFonts w:hint="eastAsia" w:eastAsia="仿宋_GB2312"/>
          <w:sz w:val="32"/>
          <w:szCs w:val="32"/>
        </w:rPr>
      </w:pPr>
      <w:r>
        <w:rPr>
          <w:rFonts w:hint="eastAsia" w:eastAsia="仿宋_GB2312"/>
          <w:sz w:val="32"/>
          <w:szCs w:val="32"/>
        </w:rPr>
        <w:t>一、基本情况</w:t>
      </w:r>
    </w:p>
    <w:p>
      <w:pPr>
        <w:spacing w:line="600" w:lineRule="exact"/>
        <w:ind w:firstLine="640" w:firstLineChars="200"/>
        <w:rPr>
          <w:rFonts w:hint="eastAsia" w:eastAsia="仿宋_GB2312"/>
          <w:sz w:val="32"/>
          <w:szCs w:val="32"/>
        </w:rPr>
      </w:pPr>
      <w:r>
        <w:rPr>
          <w:rFonts w:hint="eastAsia" w:eastAsia="仿宋_GB2312"/>
          <w:sz w:val="32"/>
          <w:szCs w:val="32"/>
        </w:rPr>
        <w:t>（一）基本情况</w:t>
      </w:r>
    </w:p>
    <w:p>
      <w:pPr>
        <w:spacing w:line="600" w:lineRule="exact"/>
        <w:ind w:firstLine="640" w:firstLineChars="200"/>
        <w:rPr>
          <w:rFonts w:eastAsia="仿宋_GB2312"/>
          <w:sz w:val="32"/>
          <w:szCs w:val="32"/>
        </w:rPr>
      </w:pPr>
      <w:r>
        <w:rPr>
          <w:rFonts w:hint="eastAsia" w:eastAsia="仿宋_GB2312"/>
          <w:sz w:val="32"/>
          <w:szCs w:val="32"/>
        </w:rPr>
        <w:t>（1）、职能职责</w:t>
      </w:r>
    </w:p>
    <w:p>
      <w:pPr>
        <w:spacing w:line="600" w:lineRule="exact"/>
        <w:ind w:firstLine="640" w:firstLineChars="200"/>
        <w:rPr>
          <w:rFonts w:hint="eastAsia" w:eastAsia="仿宋_GB2312"/>
          <w:sz w:val="32"/>
          <w:szCs w:val="32"/>
        </w:rPr>
      </w:pPr>
      <w:r>
        <w:rPr>
          <w:rFonts w:hint="eastAsia" w:eastAsia="仿宋_GB2312"/>
          <w:sz w:val="32"/>
          <w:szCs w:val="32"/>
        </w:rPr>
        <w:t>1、参与全州水利行业综合及专业规划编制；</w:t>
      </w:r>
    </w:p>
    <w:p>
      <w:pPr>
        <w:spacing w:line="600" w:lineRule="exact"/>
        <w:ind w:firstLine="640" w:firstLineChars="200"/>
        <w:rPr>
          <w:rFonts w:hint="eastAsia" w:eastAsia="仿宋_GB2312"/>
          <w:sz w:val="32"/>
          <w:szCs w:val="32"/>
        </w:rPr>
      </w:pPr>
      <w:r>
        <w:rPr>
          <w:rFonts w:hint="eastAsia" w:eastAsia="仿宋_GB2312"/>
          <w:sz w:val="32"/>
          <w:szCs w:val="32"/>
        </w:rPr>
        <w:t>2、参与编制全州主要河流、水库、安全饮水、大中型灌区中长期规划；</w:t>
      </w:r>
    </w:p>
    <w:p>
      <w:pPr>
        <w:spacing w:line="600" w:lineRule="exact"/>
        <w:ind w:firstLine="640" w:firstLineChars="200"/>
        <w:rPr>
          <w:rFonts w:eastAsia="仿宋_GB2312"/>
          <w:sz w:val="32"/>
          <w:szCs w:val="32"/>
        </w:rPr>
      </w:pPr>
      <w:r>
        <w:rPr>
          <w:rFonts w:hint="eastAsia" w:eastAsia="仿宋_GB2312"/>
          <w:sz w:val="32"/>
          <w:szCs w:val="32"/>
        </w:rPr>
        <w:t>3、承担水利科研工作；</w:t>
      </w:r>
    </w:p>
    <w:p>
      <w:pPr>
        <w:spacing w:line="600" w:lineRule="exact"/>
        <w:ind w:firstLine="640" w:firstLineChars="200"/>
        <w:rPr>
          <w:rFonts w:hint="eastAsia" w:eastAsia="仿宋_GB2312"/>
          <w:sz w:val="32"/>
          <w:szCs w:val="32"/>
        </w:rPr>
      </w:pPr>
      <w:r>
        <w:rPr>
          <w:rFonts w:hint="eastAsia" w:eastAsia="仿宋_GB2312"/>
          <w:sz w:val="32"/>
          <w:szCs w:val="32"/>
        </w:rPr>
        <w:t>4、完成上级主管部门交办的其他事项。</w:t>
      </w:r>
    </w:p>
    <w:p>
      <w:pPr>
        <w:spacing w:line="600" w:lineRule="exact"/>
        <w:ind w:firstLine="640" w:firstLineChars="200"/>
        <w:rPr>
          <w:rFonts w:eastAsia="仿宋_GB2312"/>
          <w:sz w:val="32"/>
          <w:szCs w:val="32"/>
        </w:rPr>
      </w:pPr>
      <w:r>
        <w:rPr>
          <w:rFonts w:hint="eastAsia" w:eastAsia="仿宋_GB2312"/>
          <w:sz w:val="32"/>
          <w:szCs w:val="32"/>
        </w:rPr>
        <w:t>（2）、机构设置</w:t>
      </w:r>
    </w:p>
    <w:p>
      <w:pPr>
        <w:spacing w:line="600" w:lineRule="exact"/>
        <w:ind w:firstLine="640" w:firstLineChars="200"/>
      </w:pPr>
      <w:r>
        <w:rPr>
          <w:rFonts w:hint="eastAsia" w:eastAsia="仿宋_GB2312"/>
          <w:sz w:val="32"/>
          <w:szCs w:val="32"/>
        </w:rPr>
        <w:t>州水电规划院为正科级全额拨款单位,单位法人证书统一社会信用代码124331004485260196，办公地址：湖南省吉首乾州</w:t>
      </w:r>
      <w:r>
        <w:rPr>
          <w:rFonts w:hint="eastAsia" w:eastAsia="仿宋_GB2312"/>
          <w:sz w:val="32"/>
          <w:szCs w:val="32"/>
          <w:lang w:eastAsia="zh-CN"/>
        </w:rPr>
        <w:t>街道载福路</w:t>
      </w:r>
      <w:r>
        <w:rPr>
          <w:rFonts w:hint="eastAsia" w:eastAsia="仿宋_GB2312"/>
          <w:sz w:val="32"/>
          <w:szCs w:val="32"/>
          <w:lang w:val="en-US" w:eastAsia="zh-CN"/>
        </w:rPr>
        <w:t>4-1号</w:t>
      </w:r>
      <w:r>
        <w:rPr>
          <w:rFonts w:hint="eastAsia" w:eastAsia="仿宋_GB2312"/>
          <w:sz w:val="32"/>
          <w:szCs w:val="32"/>
        </w:rPr>
        <w:t>。院内设院长室、综合办、财务室、规划室。截止到202</w:t>
      </w:r>
      <w:r>
        <w:rPr>
          <w:rFonts w:hint="eastAsia" w:eastAsia="仿宋_GB2312"/>
          <w:sz w:val="32"/>
          <w:szCs w:val="32"/>
          <w:lang w:val="en-US" w:eastAsia="zh-CN"/>
        </w:rPr>
        <w:t>3</w:t>
      </w:r>
      <w:r>
        <w:rPr>
          <w:rFonts w:hint="eastAsia" w:eastAsia="仿宋_GB2312"/>
          <w:sz w:val="32"/>
          <w:szCs w:val="32"/>
        </w:rPr>
        <w:t>年12月31日止，州水电规划院编制人数20人，实有人数2</w:t>
      </w:r>
      <w:r>
        <w:rPr>
          <w:rFonts w:hint="eastAsia" w:eastAsia="仿宋_GB2312"/>
          <w:sz w:val="32"/>
          <w:szCs w:val="32"/>
          <w:lang w:val="en-US" w:eastAsia="zh-CN"/>
        </w:rPr>
        <w:t>0</w:t>
      </w:r>
      <w:r>
        <w:rPr>
          <w:rFonts w:hint="eastAsia" w:eastAsia="仿宋_GB2312"/>
          <w:sz w:val="32"/>
          <w:szCs w:val="32"/>
        </w:rPr>
        <w:t>人。</w:t>
      </w:r>
    </w:p>
    <w:p>
      <w:pPr>
        <w:numPr>
          <w:ilvl w:val="0"/>
          <w:numId w:val="1"/>
        </w:numPr>
        <w:spacing w:line="600" w:lineRule="exact"/>
        <w:ind w:firstLine="643" w:firstLineChars="200"/>
        <w:rPr>
          <w:rFonts w:hint="eastAsia" w:eastAsia="楷体_GB2312"/>
          <w:b/>
          <w:bCs/>
          <w:sz w:val="32"/>
          <w:szCs w:val="32"/>
        </w:rPr>
      </w:pPr>
      <w:r>
        <w:rPr>
          <w:rFonts w:eastAsia="楷体_GB2312"/>
          <w:b/>
          <w:bCs/>
          <w:sz w:val="32"/>
          <w:szCs w:val="32"/>
        </w:rPr>
        <w:t>部门年度整体支出绩效目标，</w:t>
      </w:r>
      <w:r>
        <w:rPr>
          <w:rFonts w:hint="eastAsia"/>
          <w:b/>
          <w:bCs/>
          <w:sz w:val="32"/>
          <w:szCs w:val="32"/>
        </w:rPr>
        <w:t>州</w:t>
      </w:r>
      <w:r>
        <w:rPr>
          <w:rFonts w:eastAsia="楷体_GB2312"/>
          <w:b/>
          <w:bCs/>
          <w:sz w:val="32"/>
          <w:szCs w:val="32"/>
        </w:rPr>
        <w:t>级专项资金绩效目标、其他项目支出（除</w:t>
      </w:r>
      <w:r>
        <w:rPr>
          <w:rFonts w:hint="eastAsia"/>
          <w:b/>
          <w:bCs/>
          <w:sz w:val="32"/>
          <w:szCs w:val="32"/>
        </w:rPr>
        <w:t>州</w:t>
      </w:r>
      <w:r>
        <w:rPr>
          <w:rFonts w:eastAsia="楷体_GB2312"/>
          <w:b/>
          <w:bCs/>
          <w:sz w:val="32"/>
          <w:szCs w:val="32"/>
        </w:rPr>
        <w:t>级专项资金以外）绩效</w:t>
      </w:r>
      <w:r>
        <w:rPr>
          <w:rFonts w:hint="eastAsia" w:eastAsia="楷体_GB2312"/>
          <w:b/>
          <w:bCs/>
          <w:sz w:val="32"/>
          <w:szCs w:val="32"/>
        </w:rPr>
        <w:t>目标</w:t>
      </w:r>
    </w:p>
    <w:p>
      <w:pPr>
        <w:pStyle w:val="2"/>
        <w:ind w:firstLine="640" w:firstLineChars="200"/>
        <w:rPr>
          <w:rFonts w:hint="eastAsia" w:eastAsia="楷体_GB2312"/>
        </w:rPr>
      </w:pPr>
      <w:r>
        <w:rPr>
          <w:rFonts w:hint="eastAsia" w:eastAsia="楷体_GB2312"/>
          <w:sz w:val="32"/>
          <w:szCs w:val="32"/>
        </w:rPr>
        <w:t>无</w:t>
      </w:r>
    </w:p>
    <w:p>
      <w:pPr>
        <w:spacing w:line="600" w:lineRule="exact"/>
        <w:ind w:firstLine="640" w:firstLineChars="200"/>
        <w:rPr>
          <w:rFonts w:eastAsia="黑体"/>
          <w:sz w:val="32"/>
          <w:szCs w:val="32"/>
        </w:rPr>
      </w:pPr>
      <w:r>
        <w:rPr>
          <w:rFonts w:eastAsia="黑体"/>
          <w:sz w:val="32"/>
          <w:szCs w:val="32"/>
        </w:rPr>
        <w:t>二、一般公共预算支出情况</w:t>
      </w:r>
    </w:p>
    <w:p>
      <w:pPr>
        <w:pStyle w:val="20"/>
        <w:spacing w:line="600" w:lineRule="exact"/>
        <w:ind w:firstLine="643"/>
        <w:rPr>
          <w:rFonts w:hint="eastAsia" w:ascii="Times New Roman" w:hAnsi="Times New Roman" w:cs="宋体"/>
          <w:b/>
          <w:bCs/>
          <w:sz w:val="32"/>
          <w:szCs w:val="32"/>
        </w:rPr>
      </w:pPr>
      <w:r>
        <w:rPr>
          <w:rFonts w:ascii="Times New Roman" w:hAnsi="Times New Roman" w:eastAsia="楷体_GB2312"/>
          <w:b/>
          <w:bCs/>
          <w:sz w:val="32"/>
          <w:szCs w:val="32"/>
        </w:rPr>
        <w:t>（一）基本支出情</w:t>
      </w:r>
      <w:r>
        <w:rPr>
          <w:rFonts w:hint="eastAsia" w:ascii="Times New Roman" w:hAnsi="Times New Roman" w:cs="宋体"/>
          <w:b/>
          <w:bCs/>
          <w:sz w:val="32"/>
          <w:szCs w:val="32"/>
        </w:rPr>
        <w:t>况</w:t>
      </w:r>
    </w:p>
    <w:p>
      <w:pPr>
        <w:spacing w:line="600" w:lineRule="exact"/>
        <w:ind w:firstLine="640" w:firstLineChars="20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年基本支出为</w:t>
      </w:r>
      <w:r>
        <w:rPr>
          <w:rFonts w:hint="eastAsia" w:eastAsia="仿宋_GB2312"/>
          <w:sz w:val="32"/>
          <w:szCs w:val="32"/>
          <w:lang w:val="en-US" w:eastAsia="zh-CN"/>
        </w:rPr>
        <w:t>471.44</w:t>
      </w:r>
      <w:r>
        <w:rPr>
          <w:rFonts w:hint="eastAsia" w:eastAsia="仿宋_GB2312"/>
          <w:sz w:val="32"/>
          <w:szCs w:val="32"/>
        </w:rPr>
        <w:t>万元，是为了保障单位机构正常运转、完成日常工作任务而发生的各项支出，包括用于基本工资、津贴补贴等人员经费以及办公费、印刷费、水电费、办公设备购置等日常公用经费。</w:t>
      </w:r>
    </w:p>
    <w:p>
      <w:pPr>
        <w:pStyle w:val="20"/>
        <w:spacing w:line="600" w:lineRule="exact"/>
        <w:ind w:firstLine="643"/>
        <w:rPr>
          <w:rFonts w:ascii="Times New Roman" w:hAnsi="Times New Roman" w:eastAsia="楷体_GB2312"/>
          <w:b/>
          <w:bCs/>
          <w:sz w:val="32"/>
          <w:szCs w:val="32"/>
        </w:rPr>
      </w:pPr>
      <w:r>
        <w:rPr>
          <w:rFonts w:ascii="Times New Roman" w:hAnsi="Times New Roman" w:eastAsia="楷体_GB2312"/>
          <w:b/>
          <w:bCs/>
          <w:sz w:val="32"/>
          <w:szCs w:val="32"/>
        </w:rPr>
        <w:t>（二）项目支出情</w:t>
      </w:r>
      <w:r>
        <w:rPr>
          <w:rFonts w:hint="eastAsia" w:ascii="Times New Roman" w:hAnsi="Times New Roman" w:cs="宋体"/>
          <w:b/>
          <w:bCs/>
          <w:sz w:val="32"/>
          <w:szCs w:val="32"/>
        </w:rPr>
        <w:t>况</w:t>
      </w:r>
    </w:p>
    <w:p>
      <w:pPr>
        <w:spacing w:line="600" w:lineRule="exact"/>
        <w:ind w:firstLine="640" w:firstLineChars="200"/>
        <w:rPr>
          <w:rFonts w:hint="eastAsia" w:eastAsia="仿宋_GB2312"/>
          <w:sz w:val="32"/>
          <w:szCs w:val="32"/>
        </w:rPr>
      </w:pPr>
      <w:r>
        <w:rPr>
          <w:rFonts w:hint="eastAsia" w:eastAsia="仿宋_GB2312"/>
          <w:sz w:val="32"/>
          <w:szCs w:val="32"/>
        </w:rPr>
        <w:t>我部门无</w:t>
      </w:r>
      <w:r>
        <w:rPr>
          <w:rFonts w:hint="eastAsia" w:eastAsia="仿宋_GB2312"/>
          <w:sz w:val="32"/>
          <w:szCs w:val="32"/>
          <w:lang w:eastAsia="zh-CN"/>
        </w:rPr>
        <w:t>项目</w:t>
      </w:r>
      <w:r>
        <w:rPr>
          <w:rFonts w:eastAsia="仿宋_GB2312"/>
          <w:sz w:val="32"/>
          <w:szCs w:val="32"/>
        </w:rPr>
        <w:t>支出情况</w:t>
      </w:r>
    </w:p>
    <w:p>
      <w:pPr>
        <w:pStyle w:val="20"/>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spacing w:line="600" w:lineRule="exact"/>
        <w:ind w:firstLine="640" w:firstLineChars="200"/>
        <w:rPr>
          <w:rFonts w:hint="eastAsia" w:eastAsia="仿宋_GB2312"/>
          <w:sz w:val="32"/>
          <w:szCs w:val="32"/>
        </w:rPr>
      </w:pPr>
      <w:r>
        <w:rPr>
          <w:rFonts w:hint="eastAsia" w:eastAsia="仿宋_GB2312"/>
          <w:sz w:val="32"/>
          <w:szCs w:val="32"/>
        </w:rPr>
        <w:t>我部门无</w:t>
      </w:r>
      <w:r>
        <w:rPr>
          <w:rFonts w:eastAsia="仿宋_GB2312"/>
          <w:sz w:val="32"/>
          <w:szCs w:val="32"/>
        </w:rPr>
        <w:t>政府性基金预算支出情况</w:t>
      </w:r>
    </w:p>
    <w:p>
      <w:pPr>
        <w:pStyle w:val="20"/>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spacing w:line="600" w:lineRule="exact"/>
        <w:ind w:firstLine="640" w:firstLineChars="200"/>
        <w:rPr>
          <w:rFonts w:hint="eastAsia" w:eastAsia="仿宋_GB2312"/>
          <w:sz w:val="32"/>
          <w:szCs w:val="32"/>
        </w:rPr>
      </w:pPr>
      <w:r>
        <w:rPr>
          <w:rFonts w:hint="eastAsia" w:eastAsia="仿宋_GB2312"/>
          <w:sz w:val="32"/>
          <w:szCs w:val="32"/>
        </w:rPr>
        <w:t>我部门无国有资本经营预算支出情况</w:t>
      </w:r>
    </w:p>
    <w:p>
      <w:pPr>
        <w:pStyle w:val="20"/>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spacing w:line="600" w:lineRule="exact"/>
        <w:ind w:firstLine="640" w:firstLineChars="200"/>
        <w:rPr>
          <w:rFonts w:hint="eastAsia" w:eastAsia="仿宋_GB2312"/>
          <w:sz w:val="32"/>
          <w:szCs w:val="32"/>
        </w:rPr>
      </w:pPr>
      <w:r>
        <w:rPr>
          <w:rFonts w:hint="eastAsia" w:eastAsia="仿宋_GB2312"/>
          <w:sz w:val="32"/>
          <w:szCs w:val="32"/>
        </w:rPr>
        <w:t>我部门无保险基金预算支出情况</w:t>
      </w:r>
    </w:p>
    <w:p>
      <w:pPr>
        <w:spacing w:line="600" w:lineRule="exact"/>
        <w:ind w:firstLine="640" w:firstLineChars="200"/>
        <w:rPr>
          <w:rFonts w:eastAsia="黑体"/>
          <w:sz w:val="32"/>
          <w:szCs w:val="32"/>
        </w:rPr>
      </w:pPr>
      <w:r>
        <w:rPr>
          <w:rFonts w:eastAsia="黑体"/>
          <w:sz w:val="32"/>
          <w:szCs w:val="32"/>
        </w:rPr>
        <w:t>六、部门整体支出绩效情况</w:t>
      </w:r>
    </w:p>
    <w:p>
      <w:pPr>
        <w:pStyle w:val="21"/>
        <w:widowControl/>
        <w:spacing w:line="540" w:lineRule="exact"/>
        <w:ind w:firstLine="640"/>
        <w:rPr>
          <w:rFonts w:hint="eastAsia" w:eastAsia="仿宋_GB2312"/>
          <w:b/>
          <w:bCs/>
          <w:sz w:val="32"/>
          <w:szCs w:val="32"/>
        </w:rPr>
      </w:pPr>
      <w:r>
        <w:rPr>
          <w:rFonts w:hint="eastAsia" w:eastAsia="仿宋_GB2312"/>
          <w:b/>
          <w:bCs/>
          <w:sz w:val="32"/>
          <w:szCs w:val="32"/>
        </w:rPr>
        <w:t>（一）资金管理</w:t>
      </w:r>
    </w:p>
    <w:p>
      <w:pPr>
        <w:pStyle w:val="21"/>
        <w:widowControl/>
        <w:spacing w:line="540" w:lineRule="exact"/>
        <w:ind w:firstLine="640"/>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年我部门绩效目标明确，对各类项目资金的使用个管理严格按照要求专款专用、程序合法、使用得当，资金效益不断提高，举措如下：</w:t>
      </w:r>
    </w:p>
    <w:p>
      <w:pPr>
        <w:pStyle w:val="21"/>
        <w:widowControl/>
        <w:numPr>
          <w:ilvl w:val="0"/>
          <w:numId w:val="3"/>
        </w:numPr>
        <w:spacing w:line="540" w:lineRule="exact"/>
        <w:ind w:firstLine="640"/>
        <w:rPr>
          <w:rFonts w:hint="eastAsia" w:eastAsia="仿宋_GB2312"/>
          <w:sz w:val="32"/>
          <w:szCs w:val="32"/>
        </w:rPr>
      </w:pPr>
      <w:r>
        <w:rPr>
          <w:rFonts w:hint="eastAsia" w:eastAsia="仿宋_GB2312"/>
          <w:sz w:val="32"/>
          <w:szCs w:val="32"/>
        </w:rPr>
        <w:t>预算编制精细化。我部门遵循“统筹兼顾、勤俭节约、量力而行、讲求绩效和收支平衡”的原则，紧扣预算管理制度改革脉络，按“先基本支出、后项目支出”的原则，科学、客观、精细的编制202</w:t>
      </w:r>
      <w:r>
        <w:rPr>
          <w:rFonts w:hint="eastAsia" w:eastAsia="仿宋_GB2312"/>
          <w:sz w:val="32"/>
          <w:szCs w:val="32"/>
          <w:lang w:val="en-US" w:eastAsia="zh-CN"/>
        </w:rPr>
        <w:t>3</w:t>
      </w:r>
      <w:r>
        <w:rPr>
          <w:rFonts w:hint="eastAsia" w:eastAsia="仿宋_GB2312"/>
          <w:sz w:val="32"/>
          <w:szCs w:val="32"/>
        </w:rPr>
        <w:t>年部门预算草案。</w:t>
      </w:r>
    </w:p>
    <w:p>
      <w:pPr>
        <w:pStyle w:val="21"/>
        <w:widowControl/>
        <w:numPr>
          <w:ilvl w:val="0"/>
          <w:numId w:val="3"/>
        </w:numPr>
        <w:spacing w:line="540" w:lineRule="exact"/>
        <w:ind w:firstLine="640"/>
        <w:rPr>
          <w:rFonts w:hint="eastAsia" w:eastAsia="仿宋_GB2312"/>
          <w:sz w:val="32"/>
          <w:szCs w:val="32"/>
        </w:rPr>
      </w:pPr>
      <w:r>
        <w:rPr>
          <w:rFonts w:hint="eastAsia" w:eastAsia="仿宋_GB2312"/>
          <w:sz w:val="32"/>
          <w:szCs w:val="32"/>
        </w:rPr>
        <w:t>强化预算执行约束。部门预算批复后，严格执行预算，无挤占挪用和随意调剂；实施预决算“双控”管理，对公务活动实行计划与预算联动管控，所有事项先进计划笼子，在安排经费预算。</w:t>
      </w:r>
    </w:p>
    <w:p>
      <w:pPr>
        <w:pStyle w:val="21"/>
        <w:widowControl/>
        <w:numPr>
          <w:ilvl w:val="0"/>
          <w:numId w:val="3"/>
        </w:numPr>
        <w:spacing w:line="540" w:lineRule="exact"/>
        <w:ind w:firstLine="640"/>
        <w:rPr>
          <w:rFonts w:hint="eastAsia" w:eastAsia="仿宋_GB2312"/>
          <w:sz w:val="32"/>
          <w:szCs w:val="32"/>
        </w:rPr>
      </w:pPr>
      <w:r>
        <w:rPr>
          <w:rFonts w:hint="eastAsia" w:eastAsia="仿宋_GB2312"/>
          <w:sz w:val="32"/>
          <w:szCs w:val="32"/>
        </w:rPr>
        <w:t>大力压减一般性支出。202</w:t>
      </w:r>
      <w:r>
        <w:rPr>
          <w:rFonts w:hint="eastAsia" w:eastAsia="仿宋_GB2312"/>
          <w:sz w:val="32"/>
          <w:szCs w:val="32"/>
          <w:lang w:val="en-US" w:eastAsia="zh-CN"/>
        </w:rPr>
        <w:t>3</w:t>
      </w:r>
      <w:r>
        <w:rPr>
          <w:rFonts w:hint="eastAsia" w:eastAsia="仿宋_GB2312"/>
          <w:sz w:val="32"/>
          <w:szCs w:val="32"/>
        </w:rPr>
        <w:t>年我部门按中央，省委、省政府和州委、州政府过“紧日子”的要求，进一步压减一般性支出，严控“三公”经费，大力压缩非刚性、非重点项目支出，重点保障机关运转和重点工作的开展。</w:t>
      </w:r>
    </w:p>
    <w:p>
      <w:pPr>
        <w:pStyle w:val="21"/>
        <w:widowControl/>
        <w:spacing w:line="540" w:lineRule="exact"/>
        <w:ind w:firstLine="640"/>
        <w:rPr>
          <w:rFonts w:hint="eastAsia" w:eastAsia="仿宋_GB2312"/>
          <w:b/>
          <w:bCs/>
          <w:sz w:val="32"/>
          <w:szCs w:val="32"/>
        </w:rPr>
      </w:pPr>
      <w:r>
        <w:rPr>
          <w:rFonts w:hint="eastAsia" w:eastAsia="仿宋_GB2312"/>
          <w:b/>
          <w:bCs/>
          <w:sz w:val="32"/>
          <w:szCs w:val="32"/>
        </w:rPr>
        <w:t>（二）运行成本</w:t>
      </w:r>
    </w:p>
    <w:p>
      <w:pPr>
        <w:pStyle w:val="21"/>
        <w:widowControl/>
        <w:spacing w:line="540" w:lineRule="exact"/>
        <w:ind w:firstLine="640"/>
        <w:rPr>
          <w:rFonts w:hint="eastAsia" w:eastAsia="仿宋_GB2312"/>
          <w:sz w:val="32"/>
          <w:szCs w:val="32"/>
        </w:rPr>
      </w:pPr>
      <w:r>
        <w:rPr>
          <w:rFonts w:hint="eastAsia" w:eastAsia="仿宋_GB2312"/>
          <w:sz w:val="32"/>
          <w:szCs w:val="32"/>
        </w:rPr>
        <w:t>建立健全并有效执行各项制度，加强经费及资产管理，执行上从严从紧、突出重点，行政成本控制和项目成本控制取得较好的成果。</w:t>
      </w:r>
    </w:p>
    <w:p>
      <w:pPr>
        <w:pStyle w:val="21"/>
        <w:widowControl/>
        <w:spacing w:line="540" w:lineRule="exact"/>
        <w:ind w:firstLine="640"/>
        <w:rPr>
          <w:rFonts w:hint="eastAsia" w:eastAsia="仿宋_GB2312"/>
          <w:b/>
          <w:bCs/>
          <w:sz w:val="32"/>
          <w:szCs w:val="32"/>
        </w:rPr>
      </w:pPr>
      <w:r>
        <w:rPr>
          <w:rFonts w:hint="eastAsia" w:eastAsia="仿宋_GB2312"/>
          <w:b/>
          <w:bCs/>
          <w:sz w:val="32"/>
          <w:szCs w:val="32"/>
        </w:rPr>
        <w:t>（三）管理效率</w:t>
      </w:r>
    </w:p>
    <w:p>
      <w:pPr>
        <w:pStyle w:val="21"/>
        <w:widowControl/>
        <w:spacing w:line="540" w:lineRule="exact"/>
        <w:ind w:firstLine="640"/>
        <w:rPr>
          <w:rFonts w:hint="eastAsia" w:eastAsia="仿宋_GB2312"/>
          <w:sz w:val="32"/>
          <w:szCs w:val="32"/>
        </w:rPr>
      </w:pPr>
      <w:r>
        <w:rPr>
          <w:rFonts w:hint="eastAsia" w:eastAsia="仿宋_GB2312"/>
          <w:sz w:val="32"/>
          <w:szCs w:val="32"/>
        </w:rPr>
        <w:t>近年来，我部门按照机关制度规定要求，切实提高人力、财力、物力的使用效率；加大网络建设，依托内网等技术平台进行办公和数据共享，减少资源的重复配置，实现单位行政管理的现代化和信息化，保障机关良好运转。</w:t>
      </w:r>
    </w:p>
    <w:p>
      <w:pPr>
        <w:pStyle w:val="21"/>
        <w:widowControl/>
        <w:spacing w:line="540" w:lineRule="exact"/>
        <w:ind w:left="420" w:leftChars="200" w:firstLine="0" w:firstLineChars="0"/>
        <w:rPr>
          <w:rFonts w:hint="eastAsia" w:eastAsia="仿宋_GB2312"/>
          <w:b/>
          <w:bCs/>
          <w:sz w:val="32"/>
          <w:szCs w:val="32"/>
        </w:rPr>
      </w:pPr>
      <w:r>
        <w:rPr>
          <w:rFonts w:hint="eastAsia" w:eastAsia="仿宋_GB2312"/>
          <w:b/>
          <w:bCs/>
          <w:sz w:val="32"/>
          <w:szCs w:val="32"/>
        </w:rPr>
        <w:t>（四）履职效能</w:t>
      </w:r>
    </w:p>
    <w:p>
      <w:pPr>
        <w:pStyle w:val="21"/>
        <w:widowControl/>
        <w:spacing w:line="540" w:lineRule="exact"/>
        <w:ind w:firstLine="640"/>
        <w:rPr>
          <w:rFonts w:eastAsia="仿宋_GB2312"/>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湘西州水电规划院工作坚持以习近平新时代中国特色社会主义思想为指导，认真落实“水利工程补短板、水利行业强监管”水利改革发展总基调，参与全州水利行业综合及专业规划编制；编制全州主要河流、水库、安全饮水、大中型灌区中长期规划；承担水利科研工作。</w:t>
      </w:r>
    </w:p>
    <w:p>
      <w:pPr>
        <w:pStyle w:val="21"/>
        <w:widowControl/>
        <w:spacing w:line="540" w:lineRule="exact"/>
        <w:ind w:firstLine="640"/>
        <w:rPr>
          <w:rFonts w:eastAsia="仿宋_GB2312"/>
          <w:sz w:val="32"/>
          <w:szCs w:val="32"/>
        </w:rPr>
      </w:pPr>
      <w:r>
        <w:rPr>
          <w:rFonts w:hint="eastAsia" w:eastAsia="仿宋_GB2312"/>
          <w:sz w:val="32"/>
          <w:szCs w:val="32"/>
        </w:rPr>
        <w:t>（五）经济效益和社会效益</w:t>
      </w:r>
    </w:p>
    <w:p>
      <w:pPr>
        <w:pStyle w:val="21"/>
        <w:widowControl/>
        <w:spacing w:line="540" w:lineRule="exact"/>
        <w:ind w:firstLine="640"/>
        <w:rPr>
          <w:rFonts w:hint="eastAsia" w:eastAsia="仿宋_GB2312"/>
          <w:b/>
          <w:bCs/>
          <w:sz w:val="32"/>
          <w:szCs w:val="32"/>
        </w:rPr>
      </w:pPr>
      <w:r>
        <w:rPr>
          <w:rFonts w:hint="eastAsia" w:eastAsia="仿宋_GB2312"/>
          <w:b/>
          <w:bCs/>
          <w:sz w:val="32"/>
          <w:szCs w:val="32"/>
        </w:rPr>
        <w:t>（六）社会公众或服务对象满意度</w:t>
      </w:r>
    </w:p>
    <w:p>
      <w:pPr>
        <w:pStyle w:val="21"/>
        <w:widowControl/>
        <w:spacing w:line="540" w:lineRule="exact"/>
        <w:ind w:firstLine="640"/>
        <w:rPr>
          <w:rFonts w:hint="eastAsia" w:eastAsia="仿宋_GB2312"/>
          <w:sz w:val="32"/>
          <w:szCs w:val="32"/>
        </w:rPr>
      </w:pPr>
      <w:r>
        <w:rPr>
          <w:rFonts w:hint="eastAsia" w:eastAsia="仿宋_GB2312"/>
          <w:sz w:val="32"/>
          <w:szCs w:val="32"/>
        </w:rPr>
        <w:t>近几年，全州水利工作实效不断提升，相关宣传力度不断加大，社会和大众对水利工作关注度日益提高，满意度较高。</w:t>
      </w:r>
    </w:p>
    <w:p>
      <w:pPr>
        <w:spacing w:line="600" w:lineRule="exact"/>
        <w:ind w:firstLine="640" w:firstLineChars="200"/>
        <w:rPr>
          <w:rFonts w:hint="eastAsia" w:ascii="黑体" w:hAnsi="黑体" w:eastAsia="黑体"/>
          <w:sz w:val="32"/>
          <w:szCs w:val="32"/>
        </w:rPr>
      </w:pPr>
      <w:r>
        <w:rPr>
          <w:rFonts w:eastAsia="黑体"/>
          <w:sz w:val="32"/>
          <w:szCs w:val="32"/>
        </w:rPr>
        <w:t>七、</w:t>
      </w:r>
      <w:r>
        <w:rPr>
          <w:rFonts w:hint="eastAsia" w:ascii="黑体" w:hAnsi="黑体" w:eastAsia="黑体"/>
          <w:sz w:val="32"/>
          <w:szCs w:val="32"/>
        </w:rPr>
        <w:t>综合评价情况及评价结论</w:t>
      </w:r>
    </w:p>
    <w:p>
      <w:pPr>
        <w:spacing w:line="600" w:lineRule="exact"/>
        <w:ind w:firstLine="640" w:firstLineChars="200"/>
      </w:pPr>
      <w:r>
        <w:rPr>
          <w:rFonts w:hint="eastAsia" w:eastAsia="仿宋_GB2312"/>
          <w:sz w:val="32"/>
          <w:szCs w:val="32"/>
        </w:rPr>
        <w:t>根据单位整体支出绩效自评表测算，州水电规划院整体支出绩效评价得分为95分。评价等级为：“优”。</w:t>
      </w:r>
    </w:p>
    <w:p>
      <w:pPr>
        <w:numPr>
          <w:ilvl w:val="0"/>
          <w:numId w:val="4"/>
        </w:numPr>
        <w:adjustRightInd w:val="0"/>
        <w:snapToGrid w:val="0"/>
        <w:spacing w:line="600" w:lineRule="exact"/>
        <w:ind w:firstLine="640" w:firstLineChars="200"/>
        <w:rPr>
          <w:rFonts w:eastAsia="黑体"/>
          <w:sz w:val="32"/>
          <w:szCs w:val="32"/>
        </w:rPr>
      </w:pPr>
      <w:r>
        <w:rPr>
          <w:rFonts w:eastAsia="黑体"/>
          <w:sz w:val="32"/>
          <w:szCs w:val="32"/>
        </w:rPr>
        <w:t>主要经验做法、存在的问题及原因分析</w:t>
      </w:r>
    </w:p>
    <w:p>
      <w:pPr>
        <w:spacing w:line="600" w:lineRule="exact"/>
        <w:ind w:firstLine="640" w:firstLineChars="200"/>
        <w:rPr>
          <w:rFonts w:hint="eastAsia" w:eastAsia="仿宋_GB2312"/>
          <w:sz w:val="32"/>
          <w:szCs w:val="32"/>
        </w:rPr>
      </w:pPr>
      <w:r>
        <w:rPr>
          <w:rFonts w:hint="eastAsia" w:eastAsia="仿宋_GB2312"/>
          <w:sz w:val="32"/>
          <w:szCs w:val="32"/>
        </w:rPr>
        <w:t>通过对202</w:t>
      </w:r>
      <w:r>
        <w:rPr>
          <w:rFonts w:hint="eastAsia" w:eastAsia="仿宋_GB2312"/>
          <w:sz w:val="32"/>
          <w:szCs w:val="32"/>
          <w:lang w:val="en-US" w:eastAsia="zh-CN"/>
        </w:rPr>
        <w:t>3</w:t>
      </w:r>
      <w:r>
        <w:rPr>
          <w:rFonts w:hint="eastAsia" w:eastAsia="仿宋_GB2312"/>
          <w:sz w:val="32"/>
          <w:szCs w:val="32"/>
        </w:rPr>
        <w:t>年度部门整体支出绩效自评，可以认识到：</w:t>
      </w:r>
    </w:p>
    <w:p>
      <w:pPr>
        <w:spacing w:line="600" w:lineRule="exact"/>
        <w:ind w:firstLine="640" w:firstLineChars="200"/>
        <w:rPr>
          <w:rFonts w:hint="eastAsia" w:eastAsia="仿宋_GB2312"/>
          <w:sz w:val="32"/>
          <w:szCs w:val="32"/>
        </w:rPr>
      </w:pPr>
      <w:r>
        <w:rPr>
          <w:rFonts w:hint="eastAsia" w:eastAsia="仿宋_GB2312"/>
          <w:sz w:val="32"/>
          <w:szCs w:val="32"/>
        </w:rPr>
        <w:t>1、绩效管理不只是财政支出方面，而应更加注重产出及效率，强化绩效管理责任制度，更好地促进我们履行职责。全面推进预算绩效管理，是深化行政体制改革的重要举措，是财政科学化、精细化管理的重要内容。</w:t>
      </w:r>
    </w:p>
    <w:p>
      <w:pPr>
        <w:spacing w:line="600" w:lineRule="exact"/>
        <w:ind w:firstLine="640" w:firstLineChars="200"/>
        <w:rPr>
          <w:rFonts w:hint="eastAsia" w:eastAsia="仿宋_GB2312"/>
          <w:sz w:val="32"/>
          <w:szCs w:val="32"/>
        </w:rPr>
      </w:pPr>
      <w:r>
        <w:rPr>
          <w:rFonts w:hint="eastAsia" w:eastAsia="仿宋_GB2312"/>
          <w:sz w:val="32"/>
          <w:szCs w:val="32"/>
        </w:rPr>
        <w:t>2、预算要结合本单位的事业发展计划、职责和任务测算，下年度确实需要开支的经费，能编进预算的尽量准确地编进预算，以确保部门预算编制真实、准确、完整。</w:t>
      </w:r>
    </w:p>
    <w:p>
      <w:pPr>
        <w:spacing w:line="600" w:lineRule="exact"/>
        <w:ind w:firstLine="640" w:firstLineChars="200"/>
        <w:rPr>
          <w:rFonts w:hint="eastAsia" w:eastAsia="仿宋_GB2312"/>
          <w:sz w:val="32"/>
          <w:szCs w:val="32"/>
        </w:rPr>
      </w:pPr>
      <w:r>
        <w:rPr>
          <w:rFonts w:hint="eastAsia" w:eastAsia="仿宋_GB2312"/>
          <w:sz w:val="32"/>
          <w:szCs w:val="32"/>
        </w:rPr>
        <w:t>今后的改进措施：</w:t>
      </w:r>
    </w:p>
    <w:p>
      <w:pPr>
        <w:spacing w:line="600" w:lineRule="exact"/>
        <w:ind w:firstLine="640" w:firstLineChars="200"/>
        <w:rPr>
          <w:rFonts w:hint="eastAsia" w:eastAsia="仿宋_GB2312"/>
          <w:sz w:val="32"/>
          <w:szCs w:val="32"/>
        </w:rPr>
      </w:pPr>
      <w:r>
        <w:rPr>
          <w:rFonts w:hint="eastAsia" w:eastAsia="仿宋_GB2312"/>
          <w:sz w:val="32"/>
          <w:szCs w:val="32"/>
        </w:rPr>
        <w:t>1、细化预算编制工作，认真做好预算编制工作，落实落细部门预算。进一步加强各科室预算管理意识，严格按照预算编制的相关制度和要求进行预算编制；全面编制预算项目，优先保障固定性的、相对刚性的费用支出项目，进一步提高预算编制的科学性、严谨性和可控性。加强内部预算编制的审核和预算控制指标的下达。</w:t>
      </w:r>
    </w:p>
    <w:p>
      <w:pPr>
        <w:spacing w:line="600" w:lineRule="exact"/>
        <w:ind w:firstLine="640" w:firstLineChars="200"/>
        <w:rPr>
          <w:rFonts w:hint="eastAsia" w:eastAsia="仿宋_GB2312"/>
          <w:sz w:val="32"/>
          <w:szCs w:val="32"/>
        </w:rPr>
      </w:pPr>
      <w:r>
        <w:rPr>
          <w:rFonts w:hint="eastAsia" w:eastAsia="仿宋_GB2312"/>
          <w:sz w:val="32"/>
          <w:szCs w:val="32"/>
        </w:rPr>
        <w:t>2、加强财务管理，严格财务审核。加强单位财务管理，健全单位财务管理制度体系，规范单位财务行为。在费用申报时，按照预算规定的费用项目和用途进行资金使用审核、列报项目支付情况，杜绝超支现象发生。</w:t>
      </w:r>
    </w:p>
    <w:p>
      <w:pPr>
        <w:spacing w:line="600" w:lineRule="exact"/>
        <w:ind w:firstLine="640" w:firstLineChars="200"/>
        <w:rPr>
          <w:rFonts w:hint="eastAsia" w:eastAsia="仿宋_GB2312"/>
          <w:sz w:val="32"/>
          <w:szCs w:val="32"/>
        </w:rPr>
      </w:pPr>
      <w:r>
        <w:rPr>
          <w:rFonts w:hint="eastAsia" w:eastAsia="仿宋_GB2312"/>
          <w:sz w:val="32"/>
          <w:szCs w:val="32"/>
        </w:rPr>
        <w:t>3、在绩效管理上，只有重视了预算绩效的管理，各部门都强化支出责任，财政资金的使用效率才能得到最大的提升。</w:t>
      </w:r>
    </w:p>
    <w:p>
      <w:pPr>
        <w:spacing w:line="600" w:lineRule="exact"/>
        <w:ind w:firstLine="640" w:firstLineChars="200"/>
        <w:rPr>
          <w:rFonts w:hint="eastAsia" w:eastAsia="仿宋_GB2312"/>
          <w:sz w:val="32"/>
          <w:szCs w:val="32"/>
        </w:rPr>
      </w:pPr>
      <w:r>
        <w:rPr>
          <w:rFonts w:hint="eastAsia" w:eastAsia="仿宋_GB2312"/>
          <w:sz w:val="32"/>
          <w:szCs w:val="32"/>
        </w:rPr>
        <w:t>4、绩效评价指标设置应与实际相结合，例如预算完成率的评价标准应适当放宽。同时，公用经费控制率要考虑客观原因造成的预算追加数过多，因此导致评分过低的现象。</w:t>
      </w:r>
    </w:p>
    <w:p>
      <w:pPr>
        <w:numPr>
          <w:ilvl w:val="0"/>
          <w:numId w:val="4"/>
        </w:numPr>
        <w:adjustRightInd w:val="0"/>
        <w:snapToGrid w:val="0"/>
        <w:spacing w:line="600" w:lineRule="exact"/>
        <w:ind w:firstLine="640" w:firstLineChars="200"/>
        <w:rPr>
          <w:rFonts w:eastAsia="黑体"/>
          <w:sz w:val="32"/>
          <w:szCs w:val="32"/>
        </w:rPr>
      </w:pPr>
      <w:r>
        <w:rPr>
          <w:rFonts w:eastAsia="黑体"/>
          <w:sz w:val="32"/>
          <w:szCs w:val="32"/>
        </w:rPr>
        <w:t>有关建议</w:t>
      </w:r>
    </w:p>
    <w:p>
      <w:pPr>
        <w:spacing w:line="600" w:lineRule="exact"/>
        <w:ind w:firstLine="640" w:firstLineChars="200"/>
      </w:pPr>
      <w:r>
        <w:rPr>
          <w:rFonts w:hint="eastAsia" w:eastAsia="仿宋_GB2312"/>
          <w:sz w:val="32"/>
          <w:szCs w:val="32"/>
        </w:rPr>
        <w:t>1、提升财务人员业务素质，加大培训力度；2、加大对绩效评价的运用；3、对财政资金下达时间滞后的项目，加强与财政部门的沟通联系，尽早取得资金的拨付，保障项目资金的投入进度，发挥资金的使用效益。</w:t>
      </w:r>
    </w:p>
    <w:p>
      <w:pPr>
        <w:numPr>
          <w:ilvl w:val="0"/>
          <w:numId w:val="4"/>
        </w:numPr>
        <w:spacing w:line="600" w:lineRule="exact"/>
        <w:ind w:firstLine="640" w:firstLineChars="200"/>
        <w:rPr>
          <w:rFonts w:eastAsia="黑体"/>
          <w:sz w:val="32"/>
          <w:szCs w:val="32"/>
        </w:rPr>
      </w:pPr>
      <w:r>
        <w:rPr>
          <w:rFonts w:eastAsia="黑体"/>
          <w:sz w:val="32"/>
          <w:szCs w:val="32"/>
        </w:rPr>
        <w:t>绩效自评结果拟应用和公开情况</w:t>
      </w:r>
    </w:p>
    <w:p>
      <w:pPr>
        <w:spacing w:line="600" w:lineRule="exact"/>
        <w:ind w:firstLine="640" w:firstLineChars="200"/>
        <w:rPr>
          <w:rFonts w:hint="eastAsia" w:eastAsia="仿宋_GB2312"/>
          <w:sz w:val="32"/>
          <w:szCs w:val="32"/>
        </w:rPr>
      </w:pPr>
      <w:r>
        <w:rPr>
          <w:rFonts w:hint="eastAsia" w:eastAsia="仿宋_GB2312"/>
          <w:sz w:val="32"/>
          <w:szCs w:val="32"/>
        </w:rPr>
        <w:t>将根据绩效评价结果对预算执行、管理方面存在的问题进行整改落实，提高财政资金使用效益。在今后的工作中，积极推进我州水利工作的开展，进一步促进我州水利事业健康发展。绩效自评结果将按照相关要求进行公开。</w:t>
      </w:r>
    </w:p>
    <w:p>
      <w:pPr>
        <w:adjustRightInd w:val="0"/>
        <w:snapToGrid w:val="0"/>
        <w:spacing w:line="600" w:lineRule="exact"/>
        <w:ind w:firstLine="640" w:firstLineChars="200"/>
        <w:rPr>
          <w:rFonts w:eastAsia="黑体"/>
          <w:sz w:val="32"/>
          <w:szCs w:val="32"/>
        </w:rPr>
      </w:pPr>
      <w:r>
        <w:rPr>
          <w:rFonts w:hint="eastAsia" w:eastAsia="黑体"/>
          <w:sz w:val="32"/>
          <w:szCs w:val="32"/>
        </w:rPr>
        <w:t>十一</w:t>
      </w:r>
      <w:r>
        <w:rPr>
          <w:rFonts w:eastAsia="黑体"/>
          <w:sz w:val="32"/>
          <w:szCs w:val="32"/>
        </w:rPr>
        <w:t>、其他需要说明的问题</w:t>
      </w:r>
    </w:p>
    <w:p>
      <w:pPr>
        <w:spacing w:line="600" w:lineRule="exact"/>
        <w:ind w:firstLine="640" w:firstLineChars="200"/>
        <w:rPr>
          <w:rFonts w:eastAsia="仿宋_GB2312"/>
          <w:sz w:val="32"/>
          <w:szCs w:val="32"/>
        </w:rPr>
      </w:pPr>
      <w:r>
        <w:rPr>
          <w:rFonts w:hint="eastAsia" w:eastAsia="仿宋_GB2312"/>
          <w:sz w:val="32"/>
          <w:szCs w:val="32"/>
        </w:rPr>
        <w:t>无</w:t>
      </w:r>
    </w:p>
    <w:p>
      <w:pPr>
        <w:spacing w:line="600" w:lineRule="exact"/>
        <w:rPr>
          <w:rFonts w:eastAsia="仿宋_GB2312"/>
          <w:sz w:val="32"/>
          <w:szCs w:val="32"/>
        </w:rPr>
      </w:pPr>
    </w:p>
    <w:p>
      <w:pPr>
        <w:spacing w:line="600" w:lineRule="exact"/>
        <w:rPr>
          <w:rFonts w:eastAsia="仿宋_GB2312"/>
          <w:sz w:val="32"/>
          <w:szCs w:val="32"/>
        </w:rPr>
      </w:pPr>
    </w:p>
    <w:p>
      <w:pPr>
        <w:pStyle w:val="2"/>
      </w:pPr>
    </w:p>
    <w:p>
      <w:pPr>
        <w:spacing w:line="600" w:lineRule="exact"/>
        <w:rPr>
          <w:rFonts w:eastAsia="仿宋_GB2312"/>
          <w:sz w:val="32"/>
          <w:szCs w:val="32"/>
        </w:rPr>
      </w:pPr>
      <w:r>
        <w:rPr>
          <w:rFonts w:eastAsia="仿宋_GB2312"/>
          <w:sz w:val="32"/>
          <w:szCs w:val="32"/>
        </w:rPr>
        <w:t>附件：</w:t>
      </w:r>
    </w:p>
    <w:p>
      <w:pPr>
        <w:spacing w:line="600" w:lineRule="exact"/>
        <w:ind w:firstLine="640" w:firstLineChars="200"/>
        <w:rPr>
          <w:rFonts w:hint="eastAsia" w:eastAsia="仿宋_GB2312"/>
          <w:sz w:val="32"/>
          <w:szCs w:val="32"/>
        </w:rPr>
      </w:pPr>
      <w:r>
        <w:rPr>
          <w:rFonts w:hint="eastAsia" w:eastAsia="仿宋_GB2312"/>
          <w:sz w:val="32"/>
          <w:szCs w:val="32"/>
        </w:rPr>
        <w:t>1、湘西自治州水利局关于开展202</w:t>
      </w:r>
      <w:r>
        <w:rPr>
          <w:rFonts w:hint="eastAsia" w:eastAsia="仿宋_GB2312"/>
          <w:sz w:val="32"/>
          <w:szCs w:val="32"/>
          <w:lang w:val="en-US" w:eastAsia="zh-CN"/>
        </w:rPr>
        <w:t>3</w:t>
      </w:r>
      <w:r>
        <w:rPr>
          <w:rFonts w:hint="eastAsia" w:eastAsia="仿宋_GB2312"/>
          <w:sz w:val="32"/>
          <w:szCs w:val="32"/>
        </w:rPr>
        <w:t>年度部门整体支出绩效自评工作的通知</w:t>
      </w:r>
    </w:p>
    <w:p>
      <w:pPr>
        <w:spacing w:line="600" w:lineRule="exact"/>
        <w:ind w:firstLine="640" w:firstLineChars="200"/>
        <w:rPr>
          <w:rFonts w:hint="eastAsia" w:eastAsia="仿宋_GB2312"/>
          <w:sz w:val="32"/>
          <w:szCs w:val="32"/>
        </w:rPr>
      </w:pPr>
      <w:r>
        <w:rPr>
          <w:rFonts w:hint="eastAsia" w:eastAsia="仿宋_GB2312"/>
          <w:sz w:val="32"/>
          <w:szCs w:val="32"/>
        </w:rPr>
        <w:t>2、州级预算部门整体支出绩效评价基础数据表</w:t>
      </w:r>
    </w:p>
    <w:p>
      <w:pPr>
        <w:spacing w:line="600" w:lineRule="exact"/>
        <w:ind w:firstLine="640" w:firstLineChars="200"/>
        <w:rPr>
          <w:rFonts w:hint="eastAsia" w:eastAsia="仿宋_GB2312"/>
          <w:sz w:val="32"/>
          <w:szCs w:val="32"/>
        </w:rPr>
      </w:pPr>
      <w:r>
        <w:rPr>
          <w:rFonts w:hint="eastAsia" w:eastAsia="仿宋_GB2312"/>
          <w:sz w:val="32"/>
          <w:szCs w:val="32"/>
        </w:rPr>
        <w:t>3、州级预算部门整体支出绩效自评表</w:t>
      </w: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320"/>
        <w:rPr>
          <w:rFonts w:hint="eastAsia" w:eastAsia="仿宋_GB2312"/>
          <w:sz w:val="32"/>
          <w:szCs w:val="32"/>
        </w:rPr>
      </w:pPr>
    </w:p>
    <w:p>
      <w:pPr>
        <w:pStyle w:val="3"/>
        <w:ind w:firstLine="0" w:firstLineChars="0"/>
        <w:rPr>
          <w:rFonts w:hint="eastAsia" w:eastAsia="仿宋_GB2312"/>
          <w:sz w:val="32"/>
          <w:szCs w:val="32"/>
        </w:rPr>
      </w:pPr>
    </w:p>
    <w:p>
      <w:pPr>
        <w:pStyle w:val="3"/>
        <w:ind w:firstLine="0" w:firstLineChars="0"/>
        <w:rPr>
          <w:rFonts w:hint="eastAsia" w:eastAsia="仿宋_GB2312"/>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r>
        <w:rPr>
          <w:rFonts w:eastAsia="黑体"/>
          <w:sz w:val="32"/>
          <w:szCs w:val="32"/>
        </w:rPr>
        <w:t>附件1</w:t>
      </w:r>
      <w:r>
        <w:rPr>
          <w:rFonts w:hint="eastAsia" w:eastAsia="黑体"/>
          <w:sz w:val="32"/>
          <w:szCs w:val="32"/>
        </w:rPr>
        <w:t>：</w:t>
      </w:r>
    </w:p>
    <w:p>
      <w:pPr>
        <w:spacing w:line="600" w:lineRule="exact"/>
        <w:rPr>
          <w:rFonts w:hint="eastAsia" w:eastAsia="方正小标宋简体" w:cs="方正小标宋简体"/>
          <w:sz w:val="44"/>
          <w:szCs w:val="44"/>
        </w:rPr>
      </w:pPr>
      <w:r>
        <w:rPr>
          <w:rFonts w:hint="eastAsia" w:eastAsia="方正小标宋简体"/>
          <w:sz w:val="42"/>
          <w:szCs w:val="42"/>
        </w:rPr>
        <w:t>湘</w:t>
      </w:r>
      <w:r>
        <w:rPr>
          <w:rFonts w:hint="eastAsia" w:ascii="方正小标宋简体" w:eastAsia="方正小标宋简体"/>
          <w:sz w:val="42"/>
          <w:szCs w:val="42"/>
        </w:rPr>
        <w:t>西</w:t>
      </w:r>
      <w:r>
        <w:rPr>
          <w:rFonts w:hint="eastAsia" w:eastAsia="方正小标宋简体" w:cs="方正小标宋简体"/>
          <w:sz w:val="44"/>
          <w:szCs w:val="44"/>
        </w:rPr>
        <w:t>土家族苗族自治州水电规划院关于开展</w:t>
      </w:r>
    </w:p>
    <w:p>
      <w:pPr>
        <w:spacing w:line="600" w:lineRule="exact"/>
        <w:rPr>
          <w:rFonts w:hint="eastAsia" w:eastAsia="方正小标宋简体" w:cs="方正小标宋简体"/>
          <w:sz w:val="44"/>
          <w:szCs w:val="44"/>
        </w:rPr>
      </w:pPr>
      <w:r>
        <w:rPr>
          <w:rFonts w:hint="eastAsia" w:eastAsia="方正小标宋简体" w:cs="方正小标宋简体"/>
          <w:sz w:val="44"/>
          <w:szCs w:val="44"/>
        </w:rPr>
        <w:t>202</w:t>
      </w:r>
      <w:r>
        <w:rPr>
          <w:rFonts w:hint="eastAsia" w:eastAsia="方正小标宋简体" w:cs="方正小标宋简体"/>
          <w:sz w:val="44"/>
          <w:szCs w:val="44"/>
          <w:lang w:val="en-US" w:eastAsia="zh-CN"/>
        </w:rPr>
        <w:t>3</w:t>
      </w:r>
      <w:r>
        <w:rPr>
          <w:rFonts w:hint="eastAsia" w:eastAsia="方正小标宋简体" w:cs="方正小标宋简体"/>
          <w:sz w:val="44"/>
          <w:szCs w:val="44"/>
        </w:rPr>
        <w:t>年度部门整体支出绩效自评工作的通知</w:t>
      </w:r>
    </w:p>
    <w:p>
      <w:pPr>
        <w:spacing w:line="600" w:lineRule="exact"/>
        <w:jc w:val="left"/>
        <w:rPr>
          <w:rFonts w:hint="eastAsia" w:eastAsia="黑体"/>
          <w:sz w:val="32"/>
          <w:szCs w:val="32"/>
        </w:rPr>
      </w:pPr>
      <w:r>
        <w:rPr>
          <w:rFonts w:hint="eastAsia" w:eastAsia="黑体"/>
          <w:sz w:val="32"/>
          <w:szCs w:val="32"/>
        </w:rPr>
        <w:t>院各室：</w:t>
      </w:r>
    </w:p>
    <w:p>
      <w:pPr>
        <w:spacing w:line="600" w:lineRule="exact"/>
        <w:ind w:firstLine="632" w:firstLineChars="200"/>
        <w:rPr>
          <w:rFonts w:eastAsia="仿宋_GB2312"/>
          <w:sz w:val="32"/>
          <w:szCs w:val="32"/>
        </w:rPr>
      </w:pPr>
      <w:r>
        <w:rPr>
          <w:rFonts w:hint="eastAsia" w:eastAsia="仿宋_GB2312"/>
          <w:spacing w:val="-2"/>
          <w:sz w:val="32"/>
          <w:szCs w:val="32"/>
        </w:rPr>
        <w:t>为进一步规范财政资金管理，</w:t>
      </w:r>
      <w:r>
        <w:rPr>
          <w:rFonts w:eastAsia="仿宋_GB2312"/>
          <w:spacing w:val="-2"/>
          <w:sz w:val="32"/>
          <w:szCs w:val="32"/>
        </w:rPr>
        <w:t>建立全方位、全过程、全覆盖的预算绩效管理体系，</w:t>
      </w:r>
      <w:r>
        <w:rPr>
          <w:rFonts w:hint="eastAsia" w:eastAsia="仿宋_GB2312"/>
          <w:spacing w:val="-2"/>
          <w:sz w:val="32"/>
          <w:szCs w:val="32"/>
        </w:rPr>
        <w:t>强化部门责任意识，切实提高财政资金使用效益，</w:t>
      </w:r>
      <w:r>
        <w:rPr>
          <w:rFonts w:eastAsia="仿宋_GB2312"/>
          <w:spacing w:val="-2"/>
          <w:sz w:val="32"/>
          <w:szCs w:val="32"/>
        </w:rPr>
        <w:t>提升预算</w:t>
      </w:r>
      <w:r>
        <w:rPr>
          <w:rFonts w:hint="eastAsia" w:eastAsia="仿宋_GB2312"/>
          <w:spacing w:val="-2"/>
          <w:sz w:val="32"/>
          <w:szCs w:val="32"/>
        </w:rPr>
        <w:t>绩效</w:t>
      </w:r>
      <w:r>
        <w:rPr>
          <w:rFonts w:eastAsia="仿宋_GB2312"/>
          <w:spacing w:val="-2"/>
          <w:sz w:val="32"/>
          <w:szCs w:val="32"/>
        </w:rPr>
        <w:t>管理水平</w:t>
      </w:r>
      <w:r>
        <w:rPr>
          <w:rFonts w:hint="eastAsia" w:eastAsia="仿宋_GB2312"/>
          <w:spacing w:val="-2"/>
          <w:sz w:val="32"/>
          <w:szCs w:val="32"/>
        </w:rPr>
        <w:t>，根据《湘西自治州财政局关于开展202</w:t>
      </w:r>
      <w:r>
        <w:rPr>
          <w:rFonts w:hint="eastAsia" w:eastAsia="仿宋_GB2312"/>
          <w:spacing w:val="-2"/>
          <w:sz w:val="32"/>
          <w:szCs w:val="32"/>
          <w:lang w:val="en-US" w:eastAsia="zh-CN"/>
        </w:rPr>
        <w:t>3</w:t>
      </w:r>
      <w:r>
        <w:rPr>
          <w:rFonts w:hint="eastAsia" w:eastAsia="仿宋_GB2312"/>
          <w:spacing w:val="-2"/>
          <w:sz w:val="32"/>
          <w:szCs w:val="32"/>
        </w:rPr>
        <w:t>年度州直预算部门(单位)整体支出绩效自评工作的通知》（州财绩〔202</w:t>
      </w:r>
      <w:r>
        <w:rPr>
          <w:rFonts w:hint="eastAsia" w:eastAsia="仿宋_GB2312"/>
          <w:spacing w:val="-2"/>
          <w:sz w:val="32"/>
          <w:szCs w:val="32"/>
          <w:lang w:val="en-US" w:eastAsia="zh-CN"/>
        </w:rPr>
        <w:t>4</w:t>
      </w:r>
      <w:r>
        <w:rPr>
          <w:rFonts w:hint="eastAsia" w:eastAsia="仿宋_GB2312"/>
          <w:spacing w:val="-2"/>
          <w:sz w:val="32"/>
          <w:szCs w:val="32"/>
        </w:rPr>
        <w:t>〕3号）和</w:t>
      </w:r>
      <w:r>
        <w:rPr>
          <w:rFonts w:hint="eastAsia" w:eastAsia="仿宋_GB2312" w:cs="仿宋_GB2312"/>
          <w:sz w:val="32"/>
          <w:szCs w:val="32"/>
        </w:rPr>
        <w:t>《湘西自治州州级预算部门整体支出绩效自评操作规程》</w:t>
      </w:r>
      <w:r>
        <w:rPr>
          <w:rFonts w:hint="eastAsia" w:eastAsia="仿宋_GB2312"/>
          <w:spacing w:val="-2"/>
          <w:sz w:val="32"/>
          <w:szCs w:val="32"/>
        </w:rPr>
        <w:t>等文件精神，现就我单位开展</w:t>
      </w:r>
      <w:r>
        <w:rPr>
          <w:rFonts w:eastAsia="仿宋_GB2312"/>
          <w:spacing w:val="-2"/>
          <w:sz w:val="32"/>
          <w:szCs w:val="32"/>
        </w:rPr>
        <w:t>20</w:t>
      </w:r>
      <w:r>
        <w:rPr>
          <w:rFonts w:hint="eastAsia" w:eastAsia="仿宋_GB2312"/>
          <w:spacing w:val="-2"/>
          <w:sz w:val="32"/>
          <w:szCs w:val="32"/>
        </w:rPr>
        <w:t>2</w:t>
      </w:r>
      <w:r>
        <w:rPr>
          <w:rFonts w:hint="eastAsia" w:eastAsia="仿宋_GB2312"/>
          <w:spacing w:val="-2"/>
          <w:sz w:val="32"/>
          <w:szCs w:val="32"/>
          <w:lang w:val="en-US" w:eastAsia="zh-CN"/>
        </w:rPr>
        <w:t>3</w:t>
      </w:r>
      <w:r>
        <w:rPr>
          <w:rFonts w:hint="eastAsia" w:eastAsia="仿宋_GB2312"/>
          <w:spacing w:val="-2"/>
          <w:sz w:val="32"/>
          <w:szCs w:val="32"/>
        </w:rPr>
        <w:t>年度州直预算部门（单位）整体支出绩效自评工作有关事项通知如下：</w:t>
      </w:r>
    </w:p>
    <w:p>
      <w:pPr>
        <w:spacing w:line="600" w:lineRule="exact"/>
        <w:ind w:firstLine="640" w:firstLineChars="200"/>
        <w:rPr>
          <w:rFonts w:eastAsia="黑体"/>
          <w:sz w:val="32"/>
          <w:szCs w:val="32"/>
        </w:rPr>
      </w:pPr>
      <w:r>
        <w:rPr>
          <w:rFonts w:eastAsia="黑体"/>
          <w:sz w:val="32"/>
          <w:szCs w:val="32"/>
        </w:rPr>
        <w:t>一、自评范围</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202</w:t>
      </w:r>
      <w:r>
        <w:rPr>
          <w:rFonts w:hint="eastAsia" w:eastAsia="仿宋_GB2312" w:cs="仿宋_GB2312"/>
          <w:sz w:val="32"/>
          <w:szCs w:val="32"/>
          <w:lang w:val="en-US" w:eastAsia="zh-CN"/>
        </w:rPr>
        <w:t>3</w:t>
      </w:r>
      <w:r>
        <w:rPr>
          <w:rFonts w:hint="eastAsia" w:eastAsia="仿宋_GB2312" w:cs="仿宋_GB2312"/>
          <w:sz w:val="32"/>
          <w:szCs w:val="32"/>
        </w:rPr>
        <w:t>年度州财政安排给本部门整体支出</w:t>
      </w:r>
      <w:r>
        <w:rPr>
          <w:rFonts w:hint="eastAsia" w:eastAsia="仿宋_GB2312" w:cs="仿宋_GB2312"/>
          <w:sz w:val="32"/>
          <w:szCs w:val="32"/>
          <w:lang w:val="en-US" w:eastAsia="zh-CN"/>
        </w:rPr>
        <w:t>471.44</w:t>
      </w:r>
      <w:r>
        <w:rPr>
          <w:rFonts w:hint="eastAsia" w:eastAsia="仿宋_GB2312" w:cs="仿宋_GB2312"/>
          <w:sz w:val="32"/>
          <w:szCs w:val="32"/>
        </w:rPr>
        <w:t>万元，其中，一般公共预算支出</w:t>
      </w:r>
      <w:r>
        <w:rPr>
          <w:rFonts w:hint="eastAsia" w:eastAsia="仿宋_GB2312" w:cs="仿宋_GB2312"/>
          <w:sz w:val="32"/>
          <w:szCs w:val="32"/>
          <w:lang w:val="en-US" w:eastAsia="zh-CN"/>
        </w:rPr>
        <w:t>471.44</w:t>
      </w:r>
      <w:r>
        <w:rPr>
          <w:rFonts w:hint="eastAsia" w:eastAsia="仿宋_GB2312" w:cs="仿宋_GB2312"/>
          <w:sz w:val="32"/>
          <w:szCs w:val="32"/>
        </w:rPr>
        <w:t>万元，政府性基金预算支出0万元，国有资本经营预算支出0万元，社会保险基金预算支出0万元，其他预算支出0万元。一般公共预算支出包括基本支出</w:t>
      </w:r>
      <w:r>
        <w:rPr>
          <w:rFonts w:hint="eastAsia" w:eastAsia="仿宋_GB2312" w:cs="仿宋_GB2312"/>
          <w:sz w:val="32"/>
          <w:szCs w:val="32"/>
          <w:lang w:val="en-US" w:eastAsia="zh-CN"/>
        </w:rPr>
        <w:t>471.44</w:t>
      </w:r>
      <w:r>
        <w:rPr>
          <w:rFonts w:hint="eastAsia" w:eastAsia="仿宋_GB2312" w:cs="仿宋_GB2312"/>
          <w:sz w:val="32"/>
          <w:szCs w:val="32"/>
        </w:rPr>
        <w:t>万元、项目支出</w:t>
      </w:r>
      <w:r>
        <w:rPr>
          <w:rFonts w:hint="eastAsia" w:eastAsia="仿宋_GB2312" w:cs="仿宋_GB2312"/>
          <w:sz w:val="32"/>
          <w:szCs w:val="32"/>
          <w:lang w:val="en-US" w:eastAsia="zh-CN"/>
        </w:rPr>
        <w:t>0</w:t>
      </w:r>
      <w:r>
        <w:rPr>
          <w:rFonts w:hint="eastAsia" w:eastAsia="仿宋_GB2312" w:cs="仿宋_GB2312"/>
          <w:sz w:val="32"/>
          <w:szCs w:val="32"/>
        </w:rPr>
        <w:t>万元，其中，项目支出包括州本级支出0万元、对县（市）的转移支付0万元。</w:t>
      </w:r>
    </w:p>
    <w:p>
      <w:pPr>
        <w:spacing w:line="600" w:lineRule="exact"/>
        <w:ind w:firstLine="640" w:firstLineChars="200"/>
        <w:rPr>
          <w:rFonts w:eastAsia="黑体"/>
          <w:sz w:val="32"/>
          <w:szCs w:val="32"/>
        </w:rPr>
      </w:pPr>
      <w:r>
        <w:rPr>
          <w:rFonts w:eastAsia="黑体"/>
          <w:sz w:val="32"/>
          <w:szCs w:val="32"/>
        </w:rPr>
        <w:t>二、自评主要依据</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（一）《中华人民共和国预算法》、国家其他相关法律、法规和规章制度；</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（二）《中共中央 国务院关于全面实施预算绩效管理的意见》（中发〔2018〕34号）、《中共湖南省委办公厅 湖南省人民政府办公厅关于全面实施预算绩效管理的实施意见》（湘办发〔2019〕10号）；</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（三）州委、州政府制定的国民经济与社会发展规划及方针政策，关于重点工作或重大项目印发的指导意见和工作要求等文件；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（四）预算管理和绩效评价相关制度和文件；</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（五）州级预算部门“三定”方案、中长期事业发展规划及年度工作计划；</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（六）预算批复时确定的绩效目标及指标，预算部门年度预算执行情况，年度决算报告等相关材料；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（七）项目设立背景和目标，项目及资金管理办法、财务会计资料；</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（八）人大预决算审查报告、审计报告及决定、财政稽核监督报告等；</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（九）相关行业政策、行业标准及专业技术规范；</w:t>
      </w:r>
    </w:p>
    <w:p>
      <w:pPr>
        <w:spacing w:line="600" w:lineRule="exact"/>
        <w:ind w:firstLine="640" w:firstLineChars="200"/>
        <w:rPr>
          <w:rFonts w:hint="eastAsia" w:eastAsia="黑体"/>
          <w:sz w:val="32"/>
          <w:szCs w:val="32"/>
        </w:rPr>
      </w:pPr>
      <w:r>
        <w:rPr>
          <w:rFonts w:hint="eastAsia" w:eastAsia="仿宋_GB2312" w:cs="仿宋_GB2312"/>
          <w:sz w:val="32"/>
          <w:szCs w:val="32"/>
        </w:rPr>
        <w:t>（十）其他相关资料。</w:t>
      </w:r>
    </w:p>
    <w:p>
      <w:pPr>
        <w:spacing w:line="600" w:lineRule="exact"/>
        <w:ind w:firstLine="640" w:firstLineChars="200"/>
        <w:rPr>
          <w:rFonts w:eastAsia="黑体"/>
          <w:sz w:val="32"/>
          <w:szCs w:val="32"/>
        </w:rPr>
      </w:pPr>
      <w:r>
        <w:rPr>
          <w:rFonts w:eastAsia="黑体"/>
          <w:sz w:val="32"/>
          <w:szCs w:val="32"/>
        </w:rPr>
        <w:t>三、自评主要内容</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绩效自评的内容主要包括部门整体支出总体绩效目标、各项绩效指标完成情况以及预算执行情况。对未完成绩效目标或偏离绩效目标较大的要分析并说明原因，研究提出改进措施。同时，</w:t>
      </w:r>
      <w:r>
        <w:rPr>
          <w:rFonts w:hint="eastAsia" w:eastAsia="仿宋_GB2312" w:cs="仿宋_GB2312"/>
          <w:color w:val="000000"/>
          <w:sz w:val="32"/>
          <w:szCs w:val="32"/>
        </w:rPr>
        <w:t>围绕州水利部门职责、行业发展规划，以预算资金管理为主线，总结州水利部门资产管理和业务开展情况，从运行成本、管理效率、履职效能、社会效应、可持续发展能力和服务对象满意度等方面，衡量州水利部门整体及核心业务实施效果。</w:t>
      </w:r>
    </w:p>
    <w:p>
      <w:pPr>
        <w:spacing w:line="600" w:lineRule="exact"/>
        <w:ind w:firstLine="640" w:firstLineChars="200"/>
        <w:rPr>
          <w:rFonts w:eastAsia="黑体"/>
          <w:sz w:val="32"/>
          <w:szCs w:val="32"/>
        </w:rPr>
      </w:pPr>
      <w:r>
        <w:rPr>
          <w:rFonts w:eastAsia="黑体"/>
          <w:sz w:val="32"/>
          <w:szCs w:val="32"/>
        </w:rPr>
        <w:t>四、自评程序和步骤</w:t>
      </w:r>
    </w:p>
    <w:p>
      <w:pPr>
        <w:spacing w:line="600" w:lineRule="exact"/>
        <w:ind w:firstLine="640" w:firstLineChars="200"/>
        <w:rPr>
          <w:rFonts w:hint="eastAsia" w:eastAsia="仿宋_GB2312" w:cs="仿宋_GB2312"/>
          <w:sz w:val="32"/>
          <w:szCs w:val="32"/>
        </w:rPr>
      </w:pPr>
      <w:r>
        <w:rPr>
          <w:rFonts w:hint="eastAsia" w:eastAsia="仿宋_GB2312" w:cs="仿宋_GB2312"/>
          <w:sz w:val="32"/>
          <w:szCs w:val="32"/>
        </w:rPr>
        <w:t>（一）单位自查。州级预算部门本级和所属单位，填报州级预算部门整体支出绩效评价基础数据表（附件2）、州级预算部门整体支出绩效自评表（附件3）、州级预算部门项目支出绩效自评表（附件4）、州级预算部门政府性基金预算支出绩效自评表（附件5）、州级预算部门国有资本经营预算支出绩效自评表（附件6）、州级预算部门社会保险基金预算支出绩效自评表（附件7），按时报送州级预算部门。</w:t>
      </w:r>
    </w:p>
    <w:p>
      <w:pPr>
        <w:spacing w:line="600" w:lineRule="exact"/>
        <w:ind w:firstLine="640" w:firstLineChars="200"/>
        <w:rPr>
          <w:rFonts w:eastAsia="黑体"/>
          <w:sz w:val="32"/>
          <w:szCs w:val="32"/>
        </w:rPr>
      </w:pPr>
      <w:r>
        <w:rPr>
          <w:rFonts w:hint="eastAsia" w:eastAsia="仿宋_GB2312" w:cs="仿宋_GB2312"/>
          <w:sz w:val="32"/>
          <w:szCs w:val="32"/>
        </w:rPr>
        <w:t>（二）总结绩效。撰写并完善绩效自评报告。州级预算部门按照规定的文本格式和要求撰写单位部门整体支出绩效自评报告。</w:t>
      </w:r>
    </w:p>
    <w:p>
      <w:pPr>
        <w:spacing w:line="600" w:lineRule="exact"/>
        <w:ind w:firstLine="640" w:firstLineChars="200"/>
        <w:rPr>
          <w:rFonts w:eastAsia="黑体"/>
          <w:sz w:val="32"/>
          <w:szCs w:val="32"/>
        </w:rPr>
      </w:pPr>
      <w:r>
        <w:rPr>
          <w:rFonts w:eastAsia="黑体"/>
          <w:sz w:val="32"/>
          <w:szCs w:val="32"/>
        </w:rPr>
        <w:t>五、有关要求</w:t>
      </w:r>
    </w:p>
    <w:p>
      <w:pPr>
        <w:spacing w:line="600" w:lineRule="exact"/>
        <w:ind w:firstLine="640" w:firstLineChars="200"/>
        <w:rPr>
          <w:rFonts w:eastAsia="仿宋_GB2312"/>
          <w:sz w:val="32"/>
          <w:szCs w:val="32"/>
        </w:rPr>
      </w:pPr>
      <w:r>
        <w:rPr>
          <w:rFonts w:hint="eastAsia" w:eastAsia="仿宋_GB2312"/>
          <w:sz w:val="32"/>
          <w:szCs w:val="32"/>
        </w:rPr>
        <w:t>各单位在绩效自评工作中，要实事求是，确保数据准确、分值合理、结果客观，避免搞形式、走过场，严禁刻意抬高分数、弄虚作假行为，各单位要对绩效自评结果的真实性负责。</w:t>
      </w:r>
    </w:p>
    <w:p>
      <w:pPr>
        <w:spacing w:line="600" w:lineRule="exact"/>
        <w:rPr>
          <w:rFonts w:hint="eastAsia" w:eastAsia="仿宋_GB2312" w:cs="仿宋_GB2312"/>
          <w:sz w:val="32"/>
          <w:szCs w:val="32"/>
        </w:rPr>
      </w:pPr>
      <w:r>
        <w:rPr>
          <w:rFonts w:hint="eastAsia" w:eastAsia="仿宋_GB2312" w:cs="仿宋_GB2312"/>
          <w:sz w:val="32"/>
          <w:szCs w:val="32"/>
        </w:rPr>
        <w:t>附件：</w:t>
      </w:r>
    </w:p>
    <w:p>
      <w:pPr>
        <w:spacing w:before="120" w:beforeLines="50" w:line="560" w:lineRule="exact"/>
        <w:ind w:firstLine="640" w:firstLineChars="200"/>
        <w:rPr>
          <w:rFonts w:hint="eastAsia" w:eastAsia="仿宋_GB2312" w:cs="仿宋_GB2312"/>
          <w:sz w:val="32"/>
          <w:szCs w:val="32"/>
        </w:rPr>
      </w:pPr>
      <w:r>
        <w:rPr>
          <w:rFonts w:hint="eastAsia" w:eastAsia="仿宋_GB2312" w:cs="仿宋_GB2312"/>
          <w:sz w:val="32"/>
          <w:szCs w:val="32"/>
        </w:rPr>
        <w:t>1、州级预算部门整体支出绩效评价基础数据表</w:t>
      </w:r>
    </w:p>
    <w:p>
      <w:pPr>
        <w:spacing w:line="600" w:lineRule="exact"/>
        <w:ind w:firstLine="2570" w:firstLineChars="800"/>
        <w:rPr>
          <w:rFonts w:hint="eastAsia" w:eastAsia="仿宋_GB2312" w:cs="仿宋_GB2312"/>
          <w:b/>
          <w:bCs/>
          <w:color w:val="000000"/>
          <w:sz w:val="32"/>
          <w:szCs w:val="32"/>
        </w:rPr>
      </w:pPr>
      <w:r>
        <w:rPr>
          <w:rFonts w:hint="eastAsia" w:eastAsia="仿宋_GB2312" w:cs="仿宋_GB2312"/>
          <w:b/>
          <w:bCs/>
          <w:color w:val="000000"/>
          <w:sz w:val="32"/>
          <w:szCs w:val="32"/>
        </w:rPr>
        <w:t>湘西土家族苗族自治州水利水电规划研究院</w:t>
      </w:r>
    </w:p>
    <w:p>
      <w:pPr>
        <w:spacing w:line="600" w:lineRule="exact"/>
        <w:ind w:firstLine="5783" w:firstLineChars="1800"/>
        <w:rPr>
          <w:rFonts w:hint="eastAsia" w:eastAsia="仿宋_GB2312" w:cs="仿宋_GB2312"/>
          <w:b/>
          <w:bCs/>
          <w:color w:val="000000"/>
          <w:sz w:val="32"/>
          <w:szCs w:val="32"/>
        </w:rPr>
      </w:pPr>
      <w:r>
        <w:rPr>
          <w:rFonts w:hint="eastAsia" w:eastAsia="仿宋_GB2312" w:cs="仿宋_GB2312"/>
          <w:b/>
          <w:bCs/>
          <w:color w:val="000000"/>
          <w:sz w:val="32"/>
          <w:szCs w:val="32"/>
        </w:rPr>
        <w:t>202</w:t>
      </w:r>
      <w:r>
        <w:rPr>
          <w:rFonts w:hint="eastAsia" w:eastAsia="仿宋_GB2312" w:cs="仿宋_GB2312"/>
          <w:b/>
          <w:bCs/>
          <w:color w:val="000000"/>
          <w:sz w:val="32"/>
          <w:szCs w:val="32"/>
          <w:lang w:val="en-US" w:eastAsia="zh-CN"/>
        </w:rPr>
        <w:t>4</w:t>
      </w:r>
      <w:r>
        <w:rPr>
          <w:rFonts w:hint="eastAsia" w:eastAsia="仿宋_GB2312" w:cs="仿宋_GB2312"/>
          <w:b/>
          <w:bCs/>
          <w:color w:val="000000"/>
          <w:sz w:val="32"/>
          <w:szCs w:val="32"/>
        </w:rPr>
        <w:t>年5月25日</w:t>
      </w:r>
    </w:p>
    <w:p>
      <w:pPr>
        <w:jc w:val="left"/>
        <w:rPr>
          <w:rFonts w:hint="eastAsia" w:eastAsia="黑体"/>
          <w:sz w:val="32"/>
          <w:szCs w:val="32"/>
        </w:rPr>
      </w:pPr>
      <w:r>
        <w:rPr>
          <w:rFonts w:eastAsia="黑体"/>
          <w:sz w:val="32"/>
          <w:szCs w:val="32"/>
        </w:rPr>
        <w:t>附件2</w:t>
      </w:r>
      <w:r>
        <w:rPr>
          <w:rFonts w:hint="eastAsia" w:eastAsia="黑体"/>
          <w:sz w:val="32"/>
          <w:szCs w:val="32"/>
        </w:rPr>
        <w:t>：</w:t>
      </w:r>
    </w:p>
    <w:p>
      <w:pPr>
        <w:spacing w:before="120" w:beforeLines="50" w:line="560" w:lineRule="exact"/>
        <w:jc w:val="center"/>
        <w:rPr>
          <w:rFonts w:hint="eastAsia" w:ascii="方正小标宋简体" w:hAnsi="方正小标宋简体" w:eastAsia="方正小标宋简体" w:cs="方正小标宋简体"/>
          <w:sz w:val="44"/>
          <w:szCs w:val="44"/>
        </w:rPr>
      </w:pPr>
      <w:r>
        <w:rPr>
          <w:rFonts w:hint="eastAsia" w:eastAsia="方正小标宋简体" w:cs="方正小标宋简体"/>
          <w:sz w:val="44"/>
          <w:szCs w:val="44"/>
        </w:rPr>
        <w:t>州级预算</w:t>
      </w:r>
      <w:r>
        <w:rPr>
          <w:rFonts w:hint="eastAsia" w:ascii="方正小标宋简体" w:hAnsi="方正小标宋简体" w:eastAsia="方正小标宋简体" w:cs="方正小标宋简体"/>
          <w:sz w:val="44"/>
          <w:szCs w:val="44"/>
        </w:rPr>
        <w:t>部门整体支出绩效评价基础数据表</w:t>
      </w:r>
    </w:p>
    <w:p>
      <w:pPr>
        <w:spacing w:after="120" w:afterLines="50"/>
        <w:ind w:left="91"/>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（以202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年对202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年度部门整体支出绩效自评为例）</w:t>
      </w:r>
      <w:r>
        <w:rPr>
          <w:rFonts w:hint="eastAsia" w:ascii="楷体_GB2312" w:hAnsi="楷体_GB2312" w:eastAsia="楷体_GB2312" w:cs="楷体_GB2312"/>
          <w:sz w:val="32"/>
          <w:szCs w:val="32"/>
        </w:rPr>
        <w:tab/>
      </w:r>
    </w:p>
    <w:tbl>
      <w:tblPr>
        <w:tblStyle w:val="1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306"/>
        <w:gridCol w:w="93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年末编制数</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年末实际在职人数</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　20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20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2</w:t>
            </w:r>
            <w:r>
              <w:rPr>
                <w:rFonts w:hint="eastAsia" w:ascii="仿宋_GB2312" w:hAnsi="仿宋" w:eastAsia="仿宋_GB2312" w:cs="仿宋"/>
                <w:szCs w:val="21"/>
              </w:rPr>
              <w:t>年决算数</w:t>
            </w:r>
          </w:p>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（万元）</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年预算数</w:t>
            </w:r>
          </w:p>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（万元）</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w:t>
            </w:r>
            <w:r>
              <w:rPr>
                <w:rFonts w:hint="eastAsia" w:ascii="仿宋_GB2312" w:hAnsi="仿宋" w:eastAsia="仿宋_GB2312" w:cs="仿宋"/>
                <w:szCs w:val="21"/>
                <w:lang w:val="en-US" w:eastAsia="zh-CN"/>
              </w:rPr>
              <w:t>3</w:t>
            </w:r>
            <w:r>
              <w:rPr>
                <w:rFonts w:hint="eastAsia" w:ascii="仿宋_GB2312" w:hAnsi="仿宋" w:eastAsia="仿宋_GB2312" w:cs="仿宋"/>
                <w:szCs w:val="21"/>
              </w:rPr>
              <w:t>年决算数</w:t>
            </w:r>
          </w:p>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　1.37</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3.65</w:t>
            </w:r>
            <w:r>
              <w:rPr>
                <w:rFonts w:hint="eastAsia" w:ascii="仿宋_GB2312" w:hAnsi="仿宋" w:eastAsia="仿宋_GB2312" w:cs="仿宋"/>
                <w:szCs w:val="21"/>
              </w:rPr>
              <w:t>　</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lang w:val="en-US" w:eastAsia="zh-CN"/>
              </w:rPr>
              <w:t>4.42</w:t>
            </w: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0</w:t>
            </w:r>
            <w:r>
              <w:rPr>
                <w:rFonts w:hint="eastAsia" w:ascii="仿宋_GB2312" w:hAnsi="仿宋" w:eastAsia="仿宋_GB2312" w:cs="仿宋"/>
                <w:szCs w:val="21"/>
              </w:rPr>
              <w:t>　</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2.8</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lang w:val="en-US" w:eastAsia="zh-CN"/>
              </w:rPr>
              <w:t>0</w:t>
            </w: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其中：公务用车购置费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0</w:t>
            </w:r>
            <w:r>
              <w:rPr>
                <w:rFonts w:hint="eastAsia" w:ascii="仿宋_GB2312" w:hAnsi="仿宋" w:eastAsia="仿宋_GB2312" w:cs="仿宋"/>
                <w:szCs w:val="21"/>
              </w:rPr>
              <w:t>　</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0</w:t>
            </w: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公务用车运行维护费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1.37　</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2.8　</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4.42</w:t>
            </w: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2、因公出国（境）费用</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lang w:val="en-US" w:eastAsia="zh-CN"/>
              </w:rPr>
              <w:t>0</w:t>
            </w:r>
            <w:r>
              <w:rPr>
                <w:rFonts w:hint="eastAsia" w:ascii="仿宋_GB2312" w:hAnsi="仿宋" w:eastAsia="仿宋_GB2312" w:cs="仿宋"/>
                <w:szCs w:val="21"/>
              </w:rPr>
              <w:t>　</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3、公务接待费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0.85</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2.61</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　</w:t>
            </w: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20" w:firstLineChars="200"/>
              <w:jc w:val="left"/>
              <w:rPr>
                <w:rFonts w:hint="eastAsia" w:ascii="仿宋_GB2312" w:hAnsi="仿宋" w:eastAsia="仿宋_GB2312" w:cs="仿宋"/>
                <w:szCs w:val="21"/>
              </w:rPr>
            </w:pPr>
            <w:r>
              <w:rPr>
                <w:rFonts w:hint="eastAsia" w:ascii="仿宋_GB2312" w:hAnsi="仿宋" w:eastAsia="仿宋_GB2312" w:cs="仿宋"/>
                <w:szCs w:val="21"/>
              </w:rPr>
              <w:t>专项资金</w:t>
            </w:r>
          </w:p>
          <w:p>
            <w:pPr>
              <w:spacing w:line="300" w:lineRule="exact"/>
              <w:ind w:firstLine="210" w:firstLineChars="100"/>
              <w:jc w:val="left"/>
              <w:rPr>
                <w:rFonts w:hint="eastAsia" w:ascii="仿宋_GB2312" w:hAnsi="仿宋" w:eastAsia="仿宋_GB2312" w:cs="仿宋"/>
                <w:szCs w:val="21"/>
              </w:rPr>
            </w:pPr>
            <w:r>
              <w:rPr>
                <w:rFonts w:hint="eastAsia" w:ascii="仿宋_GB2312" w:hAnsi="仿宋" w:eastAsia="仿宋_GB2312" w:cs="仿宋"/>
                <w:szCs w:val="21"/>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630" w:firstLineChars="300"/>
              <w:rPr>
                <w:rFonts w:hint="eastAsia" w:ascii="仿宋_GB2312" w:hAnsi="仿宋" w:eastAsia="仿宋_GB2312" w:cs="仿宋"/>
                <w:szCs w:val="21"/>
              </w:rPr>
            </w:pPr>
            <w:r>
              <w:rPr>
                <w:rFonts w:hint="eastAsia" w:ascii="仿宋_GB2312" w:hAnsi="仿宋" w:eastAsia="仿宋_GB2312" w:cs="仿宋"/>
                <w:szCs w:val="21"/>
              </w:rPr>
              <w:t>……</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76.11</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31.76</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1.64</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3.5</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水费、电费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5.06</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0" w:firstLineChars="500"/>
              <w:jc w:val="left"/>
              <w:rPr>
                <w:rFonts w:hint="eastAsia" w:ascii="仿宋_GB2312" w:hAnsi="仿宋" w:eastAsia="仿宋_GB2312" w:cs="仿宋"/>
                <w:szCs w:val="21"/>
              </w:rPr>
            </w:pPr>
            <w:r>
              <w:rPr>
                <w:rFonts w:hint="eastAsia" w:ascii="仿宋_GB2312" w:hAnsi="仿宋" w:eastAsia="仿宋_GB2312" w:cs="仿宋"/>
                <w:szCs w:val="21"/>
              </w:rPr>
              <w:t>差旅费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0.30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2</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0" w:firstLineChars="500"/>
              <w:jc w:val="left"/>
              <w:rPr>
                <w:rFonts w:hint="eastAsia" w:ascii="仿宋_GB2312" w:hAnsi="仿宋" w:eastAsia="仿宋_GB2312" w:cs="仿宋"/>
                <w:szCs w:val="21"/>
              </w:rPr>
            </w:pPr>
            <w:r>
              <w:rPr>
                <w:rFonts w:hint="eastAsia" w:ascii="仿宋_GB2312" w:hAnsi="仿宋" w:eastAsia="仿宋_GB2312" w:cs="仿宋"/>
                <w:szCs w:val="21"/>
              </w:rPr>
              <w:t>咨询费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          会议费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邮电费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8.13</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1</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手续费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物业费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2.74</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维修费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0.03</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培训费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0.63</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4.32</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公务接待费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0.85</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劳务费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1.60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rPr>
              <w:t>1.6</w:t>
            </w:r>
            <w:r>
              <w:rPr>
                <w:rFonts w:hint="eastAsia" w:ascii="仿宋_GB2312" w:hAnsi="仿宋" w:eastAsia="仿宋_GB2312" w:cs="仿宋"/>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委托业务费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26.00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工会经费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14.79</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3.46</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福利费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5.34</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11.4</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公务用车运行维护费</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1.37</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2.8</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其他交通费用</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1.76</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3</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税金及附加费用</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2.90</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lang w:val="en-US" w:eastAsia="zh-CN"/>
              </w:rPr>
            </w:pPr>
            <w:r>
              <w:rPr>
                <w:rFonts w:hint="eastAsia" w:ascii="仿宋_GB2312" w:hAnsi="仿宋" w:eastAsia="仿宋_GB2312" w:cs="仿宋"/>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0" w:firstLineChars="500"/>
              <w:jc w:val="left"/>
              <w:rPr>
                <w:rFonts w:hint="eastAsia" w:ascii="仿宋_GB2312" w:hAnsi="仿宋" w:eastAsia="仿宋_GB2312" w:cs="仿宋"/>
                <w:szCs w:val="21"/>
              </w:rPr>
            </w:pPr>
            <w:r>
              <w:rPr>
                <w:rFonts w:hint="eastAsia" w:ascii="仿宋_GB2312" w:hAnsi="仿宋" w:eastAsia="仿宋_GB2312" w:cs="仿宋"/>
                <w:szCs w:val="21"/>
              </w:rPr>
              <w:t>其他商品服务支出</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仿宋_GB2312" w:hAnsi="仿宋" w:eastAsia="仿宋_GB2312" w:cs="仿宋"/>
                <w:szCs w:val="21"/>
              </w:rPr>
            </w:pPr>
            <w:r>
              <w:rPr>
                <w:rFonts w:hint="eastAsia" w:ascii="仿宋_GB2312" w:hAnsi="仿宋" w:eastAsia="仿宋_GB2312" w:cs="仿宋"/>
                <w:szCs w:val="21"/>
              </w:rPr>
              <w:t>3.83</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49.65</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050" w:firstLineChars="500"/>
              <w:jc w:val="left"/>
              <w:rPr>
                <w:rFonts w:hint="eastAsia" w:ascii="仿宋_GB2312" w:hAnsi="仿宋" w:eastAsia="仿宋_GB2312" w:cs="仿宋"/>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0.9　</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　</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仿宋_GB2312" w:hAnsi="仿宋" w:eastAsia="仿宋_GB2312" w:cs="仿宋"/>
                <w:szCs w:val="21"/>
                <w:lang w:val="en-US" w:eastAsia="zh-CN"/>
              </w:rPr>
            </w:pPr>
            <w:r>
              <w:rPr>
                <w:rFonts w:hint="eastAsia" w:ascii="仿宋_GB2312" w:hAnsi="仿宋" w:eastAsia="仿宋_GB2312" w:cs="仿宋"/>
                <w:szCs w:val="21"/>
                <w:lang w:val="en-US" w:eastAsia="zh-CN"/>
              </w:rPr>
              <w:t>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w:t>
            </w:r>
          </w:p>
        </w:tc>
        <w:tc>
          <w:tcPr>
            <w:tcW w:w="243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　</w:t>
            </w:r>
          </w:p>
        </w:tc>
        <w:tc>
          <w:tcPr>
            <w:tcW w:w="1806"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楼堂馆所控制情况</w:t>
            </w:r>
          </w:p>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（2020年完工项目）</w:t>
            </w:r>
          </w:p>
        </w:tc>
        <w:tc>
          <w:tcPr>
            <w:tcW w:w="118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批复规模</w:t>
            </w:r>
          </w:p>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w:t>
            </w:r>
          </w:p>
        </w:tc>
        <w:tc>
          <w:tcPr>
            <w:tcW w:w="84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实际规模（㎡）</w:t>
            </w:r>
          </w:p>
        </w:tc>
        <w:tc>
          <w:tcPr>
            <w:tcW w:w="112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规模控制率</w:t>
            </w:r>
          </w:p>
        </w:tc>
        <w:tc>
          <w:tcPr>
            <w:tcW w:w="130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预算投资（万元）</w:t>
            </w:r>
          </w:p>
        </w:tc>
        <w:tc>
          <w:tcPr>
            <w:tcW w:w="93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实际投资（万元）</w:t>
            </w:r>
          </w:p>
        </w:tc>
        <w:tc>
          <w:tcPr>
            <w:tcW w:w="867"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p>
        </w:tc>
        <w:tc>
          <w:tcPr>
            <w:tcW w:w="1189"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0</w:t>
            </w:r>
          </w:p>
        </w:tc>
        <w:tc>
          <w:tcPr>
            <w:tcW w:w="84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0</w:t>
            </w:r>
          </w:p>
        </w:tc>
        <w:tc>
          <w:tcPr>
            <w:tcW w:w="112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w:t>
            </w:r>
          </w:p>
        </w:tc>
        <w:tc>
          <w:tcPr>
            <w:tcW w:w="1306"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0</w:t>
            </w:r>
          </w:p>
        </w:tc>
        <w:tc>
          <w:tcPr>
            <w:tcW w:w="939"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0</w:t>
            </w:r>
          </w:p>
        </w:tc>
        <w:tc>
          <w:tcPr>
            <w:tcW w:w="867"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仿宋_GB2312" w:hAnsi="仿宋" w:eastAsia="仿宋_GB2312" w:cs="仿宋"/>
                <w:szCs w:val="21"/>
              </w:rPr>
            </w:pPr>
            <w:r>
              <w:rPr>
                <w:rFonts w:hint="eastAsia" w:ascii="仿宋_GB2312" w:hAnsi="仿宋" w:eastAsia="仿宋_GB2312" w:cs="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厉行节约保障措施</w:t>
            </w:r>
          </w:p>
        </w:tc>
        <w:tc>
          <w:tcPr>
            <w:tcW w:w="6279" w:type="dxa"/>
            <w:gridSpan w:val="6"/>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 w:eastAsia="仿宋_GB2312" w:cs="仿宋"/>
                <w:szCs w:val="21"/>
              </w:rPr>
            </w:pPr>
            <w:r>
              <w:rPr>
                <w:rFonts w:hint="eastAsia" w:ascii="仿宋_GB2312" w:hAnsi="仿宋" w:eastAsia="仿宋_GB2312" w:cs="仿宋"/>
                <w:szCs w:val="21"/>
              </w:rPr>
              <w:t>认真贯彻落实中央关于厉行节约的有关规定，严格执行《党政机关厉行节约反对浪费条例》和《湘西自治州党政机关国内公务接待费管理办法》，严控三公经费，减低一般运行经费。</w:t>
            </w:r>
          </w:p>
        </w:tc>
      </w:tr>
    </w:tbl>
    <w:p>
      <w:pPr>
        <w:spacing w:line="360" w:lineRule="exact"/>
        <w:rPr>
          <w:rFonts w:hint="eastAsia" w:ascii="仿宋_GB2312" w:hAnsi="仿宋" w:eastAsia="仿宋_GB2312" w:cs="仿宋"/>
          <w:szCs w:val="21"/>
        </w:rPr>
      </w:pPr>
      <w:r>
        <w:rPr>
          <w:rFonts w:hint="eastAsia" w:ascii="仿宋_GB2312" w:hAnsi="仿宋" w:eastAsia="仿宋_GB2312" w:cs="仿宋"/>
          <w:szCs w:val="21"/>
        </w:rPr>
        <w:t>说明：项目支出需要填报除基本支出以外的所有项目支出情况，公用经费填报基本支出中的一般商品和服务支出。</w:t>
      </w:r>
    </w:p>
    <w:p>
      <w:pPr>
        <w:spacing w:line="360" w:lineRule="exact"/>
        <w:rPr>
          <w:rFonts w:hint="eastAsia"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spacing w:before="120" w:beforeLines="50"/>
        <w:jc w:val="left"/>
        <w:rPr>
          <w:rFonts w:eastAsia="黑体"/>
          <w:sz w:val="32"/>
          <w:szCs w:val="32"/>
        </w:rPr>
      </w:pPr>
    </w:p>
    <w:p>
      <w:pPr>
        <w:pStyle w:val="3"/>
        <w:ind w:firstLine="0" w:firstLineChars="0"/>
        <w:rPr>
          <w:rFonts w:eastAsia="黑体"/>
          <w:sz w:val="32"/>
          <w:szCs w:val="32"/>
        </w:rPr>
      </w:pPr>
    </w:p>
    <w:p>
      <w:pPr>
        <w:spacing w:before="120" w:beforeLines="50"/>
        <w:jc w:val="left"/>
        <w:rPr>
          <w:rFonts w:hint="eastAsia" w:eastAsia="黑体"/>
          <w:sz w:val="32"/>
          <w:szCs w:val="32"/>
        </w:rPr>
      </w:pPr>
      <w:r>
        <w:rPr>
          <w:rFonts w:eastAsia="黑体"/>
          <w:sz w:val="32"/>
          <w:szCs w:val="32"/>
        </w:rPr>
        <w:t>附件3</w:t>
      </w:r>
      <w:r>
        <w:rPr>
          <w:rFonts w:hint="eastAsia" w:eastAsia="黑体"/>
          <w:sz w:val="32"/>
          <w:szCs w:val="32"/>
        </w:rPr>
        <w:t>：</w:t>
      </w:r>
    </w:p>
    <w:p>
      <w:pPr>
        <w:spacing w:before="120" w:beforeLines="50" w:line="400" w:lineRule="exact"/>
        <w:jc w:val="center"/>
        <w:rPr>
          <w:rFonts w:hint="eastAsia" w:ascii="方正小标宋简体" w:hAnsi="方正小标宋简体" w:eastAsia="方正小标宋简体" w:cs="方正小标宋简体"/>
          <w:color w:val="000000"/>
          <w:sz w:val="36"/>
          <w:szCs w:val="36"/>
        </w:rPr>
      </w:pPr>
      <w:r>
        <w:rPr>
          <w:rFonts w:hint="eastAsia" w:eastAsia="方正小标宋简体" w:cs="方正小标宋简体"/>
          <w:sz w:val="36"/>
          <w:szCs w:val="36"/>
        </w:rPr>
        <w:t>州级预算</w:t>
      </w:r>
      <w:r>
        <w:rPr>
          <w:rFonts w:hint="eastAsia" w:ascii="方正小标宋简体" w:hAnsi="方正小标宋简体" w:eastAsia="方正小标宋简体" w:cs="方正小标宋简体"/>
          <w:color w:val="000000"/>
          <w:sz w:val="36"/>
          <w:szCs w:val="36"/>
        </w:rPr>
        <w:t>部门整体支出绩效自评表</w:t>
      </w:r>
    </w:p>
    <w:p>
      <w:pPr>
        <w:spacing w:line="4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 202</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年度）</w:t>
      </w:r>
    </w:p>
    <w:tbl>
      <w:tblPr>
        <w:tblStyle w:val="12"/>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352"/>
        <w:gridCol w:w="1161"/>
        <w:gridCol w:w="1134"/>
        <w:gridCol w:w="88"/>
        <w:gridCol w:w="1165"/>
        <w:gridCol w:w="1104"/>
        <w:gridCol w:w="688"/>
        <w:gridCol w:w="87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color w:val="000000"/>
              </w:rPr>
            </w:pPr>
            <w:r>
              <w:rPr>
                <w:rFonts w:hint="eastAsia"/>
                <w:color w:val="000000"/>
              </w:rPr>
              <w:t>州</w:t>
            </w:r>
            <w:r>
              <w:rPr>
                <w:rFonts w:eastAsia="仿宋_GB2312"/>
                <w:color w:val="000000"/>
              </w:rPr>
              <w:t>级预算部门名</w:t>
            </w:r>
            <w:r>
              <w:rPr>
                <w:rFonts w:hint="eastAsia" w:cs="宋体"/>
                <w:color w:val="000000"/>
              </w:rPr>
              <w:t>称</w:t>
            </w:r>
          </w:p>
        </w:tc>
        <w:tc>
          <w:tcPr>
            <w:tcW w:w="8963" w:type="dxa"/>
            <w:gridSpan w:val="9"/>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eastAsia="仿宋_GB2312"/>
                <w:color w:val="000000"/>
              </w:rPr>
            </w:pPr>
            <w:r>
              <w:rPr>
                <w:rFonts w:hint="eastAsia" w:eastAsia="仿宋_GB2312"/>
                <w:color w:val="000000"/>
              </w:rPr>
              <w:t>湘西土家族苗族自治州水利水电规划研究院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restart"/>
            <w:tcBorders>
              <w:top w:val="nil"/>
              <w:left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年度</w:t>
            </w:r>
            <w:r>
              <w:rPr>
                <w:rFonts w:hint="eastAsia" w:cs="宋体"/>
                <w:color w:val="000000"/>
              </w:rPr>
              <w:t>预</w:t>
            </w:r>
          </w:p>
          <w:p>
            <w:pPr>
              <w:spacing w:line="260" w:lineRule="exact"/>
              <w:jc w:val="center"/>
              <w:rPr>
                <w:rFonts w:hint="eastAsia" w:eastAsia="仿宋_GB2312"/>
                <w:color w:val="000000"/>
              </w:rPr>
            </w:pPr>
            <w:r>
              <w:rPr>
                <w:rFonts w:eastAsia="仿宋_GB2312"/>
                <w:color w:val="000000"/>
              </w:rPr>
              <w:t>算申请</w:t>
            </w:r>
          </w:p>
          <w:p>
            <w:pPr>
              <w:spacing w:line="260" w:lineRule="exact"/>
              <w:jc w:val="center"/>
              <w:rPr>
                <w:rFonts w:eastAsia="仿宋_GB2312"/>
                <w:color w:val="000000"/>
              </w:rPr>
            </w:pPr>
            <w:r>
              <w:rPr>
                <w:rFonts w:eastAsia="仿宋_GB2312"/>
                <w:color w:val="000000"/>
              </w:rPr>
              <w:t>（万元</w:t>
            </w:r>
            <w:r>
              <w:rPr>
                <w:rFonts w:hint="eastAsia" w:cs="宋体"/>
                <w:color w:val="000000"/>
              </w:rPr>
              <w:t>）</w:t>
            </w: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p>
        </w:tc>
        <w:tc>
          <w:tcPr>
            <w:tcW w:w="1134" w:type="dxa"/>
            <w:tcBorders>
              <w:top w:val="single" w:color="auto" w:sz="4" w:space="0"/>
              <w:left w:val="nil"/>
              <w:bottom w:val="single" w:color="auto" w:sz="4" w:space="0"/>
              <w:right w:val="single" w:color="auto" w:sz="4" w:space="0"/>
            </w:tcBorders>
            <w:noWrap w:val="0"/>
            <w:vAlign w:val="center"/>
          </w:tcPr>
          <w:p>
            <w:pPr>
              <w:spacing w:line="260" w:lineRule="exact"/>
              <w:jc w:val="center"/>
            </w:pPr>
            <w:r>
              <w:rPr>
                <w:rFonts w:eastAsia="仿宋_GB2312"/>
              </w:rPr>
              <w:t>年</w:t>
            </w:r>
            <w:r>
              <w:rPr>
                <w:rFonts w:hint="eastAsia" w:cs="宋体"/>
              </w:rPr>
              <w:t>初</w:t>
            </w:r>
          </w:p>
          <w:p>
            <w:pPr>
              <w:spacing w:line="260" w:lineRule="exact"/>
              <w:jc w:val="center"/>
              <w:rPr>
                <w:rFonts w:hint="eastAsia"/>
              </w:rPr>
            </w:pPr>
            <w:r>
              <w:rPr>
                <w:rFonts w:eastAsia="仿宋_GB2312"/>
              </w:rPr>
              <w:t>预算</w:t>
            </w:r>
            <w:r>
              <w:rPr>
                <w:rFonts w:hint="eastAsia" w:cs="宋体"/>
              </w:rPr>
              <w:t>数</w:t>
            </w:r>
          </w:p>
        </w:tc>
        <w:tc>
          <w:tcPr>
            <w:tcW w:w="1253"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全年</w:t>
            </w:r>
          </w:p>
          <w:p>
            <w:pPr>
              <w:spacing w:line="260" w:lineRule="exact"/>
              <w:jc w:val="center"/>
              <w:rPr>
                <w:rFonts w:hint="eastAsia"/>
              </w:rPr>
            </w:pPr>
            <w:r>
              <w:rPr>
                <w:rFonts w:eastAsia="仿宋_GB2312"/>
              </w:rPr>
              <w:t>预算</w:t>
            </w:r>
            <w:r>
              <w:rPr>
                <w:rFonts w:hint="eastAsia" w:cs="宋体"/>
              </w:rPr>
              <w:t>数</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pPr>
            <w:r>
              <w:rPr>
                <w:rFonts w:eastAsia="仿宋_GB2312"/>
              </w:rPr>
              <w:t>全</w:t>
            </w:r>
            <w:r>
              <w:rPr>
                <w:rFonts w:hint="eastAsia" w:cs="宋体"/>
              </w:rPr>
              <w:t>年</w:t>
            </w:r>
          </w:p>
          <w:p>
            <w:pPr>
              <w:spacing w:line="260" w:lineRule="exact"/>
              <w:jc w:val="center"/>
              <w:rPr>
                <w:rFonts w:hint="eastAsia"/>
              </w:rPr>
            </w:pPr>
            <w:r>
              <w:rPr>
                <w:rFonts w:eastAsia="仿宋_GB2312"/>
              </w:rPr>
              <w:t>执行</w:t>
            </w:r>
            <w:r>
              <w:rPr>
                <w:rFonts w:hint="eastAsia" w:cs="宋体"/>
              </w:rPr>
              <w:t>数</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分</w:t>
            </w:r>
            <w:r>
              <w:rPr>
                <w:rFonts w:hint="eastAsia" w:cs="宋体"/>
              </w:rPr>
              <w:t>值</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执行</w:t>
            </w:r>
            <w:r>
              <w:rPr>
                <w:rFonts w:hint="eastAsia" w:cs="宋体"/>
              </w:rPr>
              <w:t>率</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得</w:t>
            </w:r>
            <w:r>
              <w:rPr>
                <w:rFonts w:hint="eastAsia"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eastAsia="仿宋_GB2312"/>
              </w:rPr>
            </w:pPr>
            <w:r>
              <w:rPr>
                <w:rFonts w:eastAsia="仿宋_GB2312"/>
                <w:color w:val="000000"/>
              </w:rPr>
              <w:t>年度资金总</w:t>
            </w:r>
            <w:r>
              <w:rPr>
                <w:rFonts w:hint="eastAsia" w:cs="宋体"/>
                <w:color w:val="000000"/>
              </w:rPr>
              <w:t>额</w:t>
            </w:r>
          </w:p>
        </w:tc>
        <w:tc>
          <w:tcPr>
            <w:tcW w:w="113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509.34</w:t>
            </w:r>
          </w:p>
        </w:tc>
        <w:tc>
          <w:tcPr>
            <w:tcW w:w="1253"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459.93</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459.93</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10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color w:val="000000"/>
              </w:rPr>
            </w:pPr>
            <w:r>
              <w:rPr>
                <w:rFonts w:eastAsia="仿宋_GB2312"/>
                <w:color w:val="000000"/>
              </w:rPr>
              <w:t>按收入性质分</w:t>
            </w:r>
            <w:r>
              <w:rPr>
                <w:rFonts w:hint="eastAsia" w:cs="宋体"/>
                <w:color w:val="000000"/>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lang w:val="en-US" w:eastAsia="zh-CN"/>
              </w:rPr>
              <w:t>509.34</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lang w:val="en-US" w:eastAsia="zh-CN"/>
              </w:rPr>
              <w:t>459.93</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lang w:val="en-US" w:eastAsia="zh-CN"/>
              </w:rPr>
              <w:t>459.93</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color w:val="000000"/>
              </w:rPr>
            </w:pPr>
            <w:r>
              <w:rPr>
                <w:rFonts w:eastAsia="仿宋_GB2312"/>
                <w:color w:val="000000"/>
              </w:rPr>
              <w:t xml:space="preserve">  一般公共预算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509.34</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459.51</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459.51</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eastAsia="仿宋_GB2312"/>
                <w:color w:val="000000"/>
              </w:rPr>
            </w:pPr>
            <w:r>
              <w:rPr>
                <w:rFonts w:eastAsia="仿宋_GB2312"/>
                <w:color w:val="000000"/>
              </w:rPr>
              <w:t>政府性基金拨款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0</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420" w:firstLineChars="200"/>
              <w:jc w:val="both"/>
              <w:rPr>
                <w:rFonts w:hint="eastAsia" w:eastAsia="仿宋_GB2312"/>
                <w:lang w:val="en-US" w:eastAsia="zh-CN"/>
              </w:rPr>
            </w:pPr>
            <w:r>
              <w:rPr>
                <w:rFonts w:hint="eastAsia" w:eastAsia="仿宋_GB2312"/>
                <w:lang w:val="en-US" w:eastAsia="zh-CN"/>
              </w:rPr>
              <w:t>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ind w:firstLine="420" w:firstLineChars="200"/>
              <w:jc w:val="center"/>
              <w:rPr>
                <w:rFonts w:hint="eastAsia" w:eastAsia="仿宋_GB2312"/>
                <w:lang w:val="en-US" w:eastAsia="zh-CN"/>
              </w:rPr>
            </w:pPr>
            <w:r>
              <w:rPr>
                <w:rFonts w:hint="eastAsia" w:eastAsia="仿宋_GB2312"/>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630" w:firstLineChars="300"/>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eastAsia="仿宋_GB2312"/>
                <w:color w:val="000000"/>
              </w:rPr>
            </w:pPr>
            <w:r>
              <w:rPr>
                <w:rFonts w:eastAsia="仿宋_GB2312"/>
                <w:color w:val="000000"/>
              </w:rPr>
              <w:t>纳入专户管理的非税收入拨款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lang w:val="en-US" w:eastAsia="zh-CN"/>
              </w:rPr>
            </w:pPr>
            <w:r>
              <w:rPr>
                <w:rFonts w:hint="eastAsia" w:eastAsia="仿宋_GB2312"/>
                <w:lang w:val="en-US" w:eastAsia="zh-CN"/>
              </w:rPr>
              <w:t>0</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lang w:val="en-US" w:eastAsia="zh-CN"/>
              </w:rPr>
            </w:pPr>
            <w:r>
              <w:rPr>
                <w:rFonts w:hint="eastAsia" w:eastAsia="仿宋_GB2312"/>
                <w:lang w:val="en-US" w:eastAsia="zh-CN"/>
              </w:rPr>
              <w:t>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eastAsia="仿宋_GB2312"/>
                <w:lang w:val="en-US" w:eastAsia="zh-CN"/>
              </w:rPr>
            </w:pPr>
            <w:r>
              <w:rPr>
                <w:rFonts w:hint="eastAsia" w:eastAsia="仿宋_GB2312"/>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eastAsia="仿宋_GB2312"/>
                <w:color w:val="000000"/>
              </w:rPr>
            </w:pPr>
            <w:r>
              <w:rPr>
                <w:rFonts w:eastAsia="仿宋_GB2312"/>
                <w:color w:val="000000"/>
              </w:rPr>
              <w:t>其他资金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lang w:val="en-US" w:eastAsia="zh-CN"/>
              </w:rPr>
            </w:pPr>
            <w:r>
              <w:rPr>
                <w:rFonts w:hint="eastAsia" w:eastAsia="仿宋_GB2312"/>
                <w:lang w:val="en-US" w:eastAsia="zh-CN"/>
              </w:rPr>
              <w:t>0</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0.42</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0.42</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pStyle w:val="8"/>
              <w:snapToGrid/>
              <w:spacing w:line="260" w:lineRule="exact"/>
              <w:rPr>
                <w:rFonts w:eastAsia="仿宋_GB2312"/>
                <w:color w:val="000000"/>
                <w:kern w:val="2"/>
                <w:sz w:val="21"/>
                <w:szCs w:val="21"/>
                <w:lang w:val="en-US" w:eastAsia="zh-CN"/>
              </w:rPr>
            </w:pPr>
            <w:r>
              <w:rPr>
                <w:rFonts w:eastAsia="仿宋_GB2312"/>
                <w:color w:val="000000"/>
                <w:kern w:val="2"/>
                <w:lang w:val="en-US" w:eastAsia="zh-CN"/>
              </w:rPr>
              <w:t>按支出性质分</w:t>
            </w:r>
            <w:r>
              <w:rPr>
                <w:rFonts w:hint="eastAsia" w:cs="宋体"/>
                <w:color w:val="000000"/>
                <w:kern w:val="2"/>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rPr>
            </w:pPr>
            <w:r>
              <w:rPr>
                <w:rFonts w:hint="eastAsia" w:eastAsia="仿宋_GB2312"/>
                <w:lang w:val="en-US" w:eastAsia="zh-CN"/>
              </w:rPr>
              <w:t>509.34</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lang w:val="en-US" w:eastAsia="zh-CN"/>
              </w:rPr>
              <w:t>471.44</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lang w:val="en-US" w:eastAsia="zh-CN"/>
              </w:rPr>
              <w:t>471.44</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eastAsia="仿宋_GB2312"/>
                <w:color w:val="000000"/>
              </w:rPr>
            </w:pPr>
            <w:r>
              <w:rPr>
                <w:rFonts w:eastAsia="仿宋_GB2312"/>
                <w:color w:val="000000"/>
              </w:rPr>
              <w:t>基本支出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509.34</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471.44</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default" w:eastAsia="仿宋_GB2312"/>
                <w:lang w:val="en-US" w:eastAsia="zh-CN"/>
              </w:rPr>
            </w:pPr>
            <w:r>
              <w:rPr>
                <w:rFonts w:hint="eastAsia" w:eastAsia="仿宋_GB2312"/>
                <w:lang w:val="en-US" w:eastAsia="zh-CN"/>
              </w:rPr>
              <w:t>471.44</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left w:val="single" w:color="auto" w:sz="4" w:space="0"/>
              <w:bottom w:val="single" w:color="auto" w:sz="4" w:space="0"/>
              <w:right w:val="single" w:color="auto" w:sz="4" w:space="0"/>
            </w:tcBorders>
            <w:noWrap w:val="0"/>
            <w:vAlign w:val="center"/>
          </w:tcPr>
          <w:p>
            <w:pPr>
              <w:spacing w:line="260" w:lineRule="exact"/>
              <w:jc w:val="left"/>
              <w:rPr>
                <w:rFonts w:eastAsia="仿宋_GB2312"/>
                <w:color w:val="000000"/>
              </w:rPr>
            </w:pPr>
          </w:p>
        </w:tc>
        <w:tc>
          <w:tcPr>
            <w:tcW w:w="2513" w:type="dxa"/>
            <w:gridSpan w:val="2"/>
            <w:tcBorders>
              <w:top w:val="single" w:color="auto" w:sz="4" w:space="0"/>
              <w:left w:val="nil"/>
              <w:bottom w:val="single" w:color="auto" w:sz="4" w:space="0"/>
              <w:right w:val="single" w:color="auto" w:sz="4" w:space="0"/>
            </w:tcBorders>
            <w:noWrap w:val="0"/>
            <w:vAlign w:val="center"/>
          </w:tcPr>
          <w:p>
            <w:pPr>
              <w:spacing w:line="260" w:lineRule="exact"/>
              <w:ind w:firstLine="210" w:firstLineChars="100"/>
              <w:jc w:val="left"/>
              <w:rPr>
                <w:rFonts w:eastAsia="仿宋_GB2312"/>
                <w:color w:val="000000"/>
              </w:rPr>
            </w:pPr>
            <w:r>
              <w:rPr>
                <w:rFonts w:eastAsia="仿宋_GB2312"/>
                <w:color w:val="000000"/>
              </w:rPr>
              <w:t>项目支出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lang w:val="en-US" w:eastAsia="zh-CN"/>
              </w:rPr>
            </w:pPr>
            <w:r>
              <w:rPr>
                <w:rFonts w:hint="eastAsia" w:eastAsia="仿宋_GB2312"/>
                <w:lang w:val="en-US" w:eastAsia="zh-CN"/>
              </w:rPr>
              <w:t>0</w:t>
            </w:r>
          </w:p>
        </w:tc>
        <w:tc>
          <w:tcPr>
            <w:tcW w:w="125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lang w:eastAsia="zh-CN"/>
              </w:rPr>
            </w:pPr>
            <w:r>
              <w:rPr>
                <w:rFonts w:hint="eastAsia" w:eastAsia="仿宋_GB2312"/>
                <w:lang w:val="en-US" w:eastAsia="zh-CN"/>
              </w:rPr>
              <w:t>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eastAsia="仿宋_GB2312"/>
                <w:lang w:eastAsia="zh-CN"/>
              </w:rPr>
            </w:pPr>
            <w:r>
              <w:rPr>
                <w:rFonts w:hint="eastAsia" w:eastAsia="仿宋_GB2312"/>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仿宋_GB2312"/>
              </w:rPr>
            </w:pPr>
            <w:r>
              <w:rPr>
                <w:rFonts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年度总体目</w:t>
            </w:r>
            <w:r>
              <w:rPr>
                <w:rFonts w:hint="eastAsia" w:cs="宋体"/>
                <w:color w:val="000000"/>
              </w:rPr>
              <w:t>标</w:t>
            </w:r>
          </w:p>
        </w:tc>
        <w:tc>
          <w:tcPr>
            <w:tcW w:w="4900" w:type="dxa"/>
            <w:gridSpan w:val="5"/>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预期目</w:t>
            </w:r>
            <w:r>
              <w:rPr>
                <w:rFonts w:hint="eastAsia" w:cs="宋体"/>
              </w:rPr>
              <w:t>标</w:t>
            </w:r>
          </w:p>
        </w:tc>
        <w:tc>
          <w:tcPr>
            <w:tcW w:w="4063"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color w:val="000000"/>
              </w:rPr>
            </w:pPr>
          </w:p>
        </w:tc>
        <w:tc>
          <w:tcPr>
            <w:tcW w:w="4900" w:type="dxa"/>
            <w:gridSpan w:val="5"/>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目标1：抓好思想教育工作</w:t>
            </w:r>
          </w:p>
          <w:p>
            <w:pPr>
              <w:spacing w:line="260" w:lineRule="exact"/>
              <w:jc w:val="left"/>
              <w:rPr>
                <w:rFonts w:hint="eastAsia" w:eastAsia="仿宋_GB2312"/>
              </w:rPr>
            </w:pPr>
            <w:r>
              <w:rPr>
                <w:rFonts w:hint="eastAsia" w:eastAsia="仿宋_GB2312"/>
              </w:rPr>
              <w:t>目标2：做好后勤保障衔接</w:t>
            </w:r>
          </w:p>
          <w:p>
            <w:pPr>
              <w:spacing w:line="260" w:lineRule="exact"/>
              <w:jc w:val="left"/>
              <w:rPr>
                <w:rFonts w:hint="eastAsia" w:eastAsia="仿宋_GB2312"/>
              </w:rPr>
            </w:pPr>
            <w:r>
              <w:rPr>
                <w:rFonts w:hint="eastAsia" w:eastAsia="仿宋_GB2312"/>
              </w:rPr>
              <w:t>目标3：负责防汛抗旱、评审技术咨询</w:t>
            </w:r>
          </w:p>
          <w:p>
            <w:pPr>
              <w:spacing w:line="260" w:lineRule="exact"/>
              <w:jc w:val="left"/>
              <w:rPr>
                <w:rFonts w:hint="eastAsia" w:eastAsia="仿宋_GB2312"/>
              </w:rPr>
            </w:pPr>
            <w:r>
              <w:rPr>
                <w:rFonts w:hint="eastAsia" w:eastAsia="仿宋_GB2312"/>
              </w:rPr>
              <w:t>目标4：配合州水利局推进水利工程项目建设；</w:t>
            </w:r>
          </w:p>
          <w:p>
            <w:pPr>
              <w:spacing w:line="260" w:lineRule="exact"/>
              <w:jc w:val="left"/>
              <w:rPr>
                <w:rFonts w:hint="eastAsia" w:eastAsia="仿宋_GB2312"/>
              </w:rPr>
            </w:pPr>
            <w:r>
              <w:rPr>
                <w:rFonts w:hint="eastAsia" w:eastAsia="仿宋_GB2312"/>
              </w:rPr>
              <w:t>目标5：配合州水利局完成规划计划工作</w:t>
            </w:r>
          </w:p>
          <w:p>
            <w:pPr>
              <w:spacing w:line="260" w:lineRule="exact"/>
              <w:jc w:val="left"/>
              <w:rPr>
                <w:rFonts w:eastAsia="仿宋_GB2312"/>
                <w:color w:val="0070C0"/>
              </w:rPr>
            </w:pPr>
          </w:p>
          <w:p>
            <w:pPr>
              <w:pStyle w:val="2"/>
            </w:pPr>
          </w:p>
        </w:tc>
        <w:tc>
          <w:tcPr>
            <w:tcW w:w="4063" w:type="dxa"/>
            <w:gridSpan w:val="4"/>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1、是学习党史，以“新岗位、新面貌、换思想、换行动”引导干部职工尽快适应新岗位要求。</w:t>
            </w:r>
          </w:p>
          <w:p>
            <w:pPr>
              <w:spacing w:line="260" w:lineRule="exact"/>
              <w:jc w:val="left"/>
              <w:rPr>
                <w:rFonts w:hint="eastAsia" w:eastAsia="仿宋_GB2312"/>
              </w:rPr>
            </w:pPr>
            <w:r>
              <w:rPr>
                <w:rFonts w:hint="eastAsia" w:eastAsia="仿宋_GB2312"/>
              </w:rPr>
              <w:t>2、负责防汛抗旱、评审技术咨询</w:t>
            </w:r>
          </w:p>
          <w:p>
            <w:pPr>
              <w:spacing w:line="260" w:lineRule="exact"/>
              <w:jc w:val="left"/>
              <w:rPr>
                <w:rFonts w:hint="eastAsia" w:eastAsia="仿宋_GB2312"/>
              </w:rPr>
            </w:pPr>
            <w:r>
              <w:rPr>
                <w:rFonts w:hint="eastAsia" w:eastAsia="仿宋_GB2312"/>
              </w:rPr>
              <w:t>3、配合州水利局推进水利工程项目建设；</w:t>
            </w:r>
          </w:p>
          <w:p>
            <w:pPr>
              <w:pStyle w:val="3"/>
              <w:ind w:firstLine="0" w:firstLineChars="0"/>
              <w:rPr>
                <w:rFonts w:eastAsia="仿宋_GB2312"/>
              </w:rPr>
            </w:pPr>
            <w:r>
              <w:rPr>
                <w:rFonts w:hint="eastAsia" w:eastAsia="仿宋_GB2312"/>
              </w:rPr>
              <w:t>4、配合州水利局完成规划计划工作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46" w:type="dxa"/>
            <w:vMerge w:val="restart"/>
            <w:tcBorders>
              <w:top w:val="nil"/>
              <w:left w:val="single" w:color="auto" w:sz="4" w:space="0"/>
              <w:bottom w:val="single" w:color="auto" w:sz="4" w:space="0"/>
              <w:right w:val="single" w:color="auto" w:sz="4" w:space="0"/>
            </w:tcBorders>
            <w:noWrap w:val="0"/>
            <w:vAlign w:val="center"/>
          </w:tcPr>
          <w:p>
            <w:pPr>
              <w:spacing w:line="260" w:lineRule="exact"/>
              <w:jc w:val="center"/>
              <w:rPr>
                <w:rFonts w:eastAsia="仿宋_GB2312"/>
                <w:color w:val="000000"/>
              </w:rPr>
            </w:pPr>
            <w:r>
              <w:rPr>
                <w:rFonts w:hint="eastAsia" w:cs="宋体"/>
                <w:color w:val="000000"/>
              </w:rPr>
              <w:t>绩</w:t>
            </w:r>
          </w:p>
          <w:p>
            <w:pPr>
              <w:spacing w:line="260" w:lineRule="exact"/>
              <w:jc w:val="center"/>
              <w:rPr>
                <w:rFonts w:eastAsia="仿宋_GB2312"/>
                <w:color w:val="000000"/>
              </w:rPr>
            </w:pPr>
            <w:r>
              <w:rPr>
                <w:rFonts w:hint="eastAsia" w:cs="宋体"/>
                <w:color w:val="000000"/>
              </w:rPr>
              <w:t>效</w:t>
            </w:r>
          </w:p>
          <w:p>
            <w:pPr>
              <w:spacing w:line="260" w:lineRule="exact"/>
              <w:jc w:val="center"/>
              <w:rPr>
                <w:rFonts w:eastAsia="仿宋_GB2312"/>
                <w:color w:val="000000"/>
              </w:rPr>
            </w:pPr>
            <w:r>
              <w:rPr>
                <w:rFonts w:hint="eastAsia" w:cs="宋体"/>
                <w:color w:val="000000"/>
              </w:rPr>
              <w:t>指</w:t>
            </w:r>
          </w:p>
          <w:p>
            <w:pPr>
              <w:spacing w:line="260" w:lineRule="exact"/>
              <w:jc w:val="center"/>
              <w:rPr>
                <w:rFonts w:eastAsia="仿宋_GB2312"/>
                <w:color w:val="000000"/>
              </w:rPr>
            </w:pPr>
            <w:r>
              <w:rPr>
                <w:rFonts w:hint="eastAsia" w:cs="宋体"/>
                <w:color w:val="000000"/>
              </w:rPr>
              <w:t>标</w:t>
            </w:r>
          </w:p>
        </w:tc>
        <w:tc>
          <w:tcPr>
            <w:tcW w:w="1352"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一级指</w:t>
            </w:r>
            <w:r>
              <w:rPr>
                <w:rFonts w:hint="eastAsia" w:cs="宋体"/>
                <w:color w:val="000000"/>
              </w:rPr>
              <w:t>标</w:t>
            </w:r>
          </w:p>
        </w:tc>
        <w:tc>
          <w:tcPr>
            <w:tcW w:w="1161"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二级指</w:t>
            </w:r>
            <w:r>
              <w:rPr>
                <w:rFonts w:hint="eastAsia" w:cs="宋体"/>
                <w:color w:val="000000"/>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三级指</w:t>
            </w:r>
            <w:r>
              <w:rPr>
                <w:rFonts w:hint="eastAsia" w:cs="宋体"/>
                <w:color w:val="000000"/>
              </w:rPr>
              <w:t>标</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center"/>
              <w:rPr>
                <w:color w:val="000000"/>
              </w:rPr>
            </w:pPr>
            <w:r>
              <w:rPr>
                <w:rFonts w:eastAsia="仿宋_GB2312"/>
                <w:color w:val="000000"/>
              </w:rPr>
              <w:t>年</w:t>
            </w:r>
            <w:r>
              <w:rPr>
                <w:rFonts w:hint="eastAsia" w:cs="宋体"/>
                <w:color w:val="000000"/>
              </w:rPr>
              <w:t>度</w:t>
            </w:r>
          </w:p>
          <w:p>
            <w:pPr>
              <w:spacing w:line="260" w:lineRule="exact"/>
              <w:jc w:val="center"/>
              <w:rPr>
                <w:rFonts w:eastAsia="仿宋_GB2312"/>
                <w:color w:val="000000"/>
              </w:rPr>
            </w:pPr>
            <w:r>
              <w:rPr>
                <w:rFonts w:eastAsia="仿宋_GB2312"/>
                <w:color w:val="000000"/>
              </w:rPr>
              <w:t>指标</w:t>
            </w:r>
            <w:r>
              <w:rPr>
                <w:rFonts w:hint="eastAsia" w:cs="宋体"/>
                <w:color w:val="000000"/>
              </w:rPr>
              <w:t>值</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center"/>
              <w:rPr>
                <w:color w:val="000000"/>
              </w:rPr>
            </w:pPr>
            <w:r>
              <w:rPr>
                <w:rFonts w:eastAsia="仿宋_GB2312"/>
                <w:color w:val="000000"/>
              </w:rPr>
              <w:t>实</w:t>
            </w:r>
            <w:r>
              <w:rPr>
                <w:rFonts w:hint="eastAsia" w:cs="宋体"/>
                <w:color w:val="000000"/>
              </w:rPr>
              <w:t>际</w:t>
            </w:r>
          </w:p>
          <w:p>
            <w:pPr>
              <w:spacing w:line="260" w:lineRule="exact"/>
              <w:jc w:val="center"/>
              <w:rPr>
                <w:rFonts w:eastAsia="仿宋_GB2312"/>
                <w:color w:val="000000"/>
              </w:rPr>
            </w:pPr>
            <w:r>
              <w:rPr>
                <w:rFonts w:eastAsia="仿宋_GB2312"/>
                <w:color w:val="000000"/>
              </w:rPr>
              <w:t>完成</w:t>
            </w:r>
            <w:r>
              <w:rPr>
                <w:rFonts w:hint="eastAsia" w:cs="宋体"/>
                <w:color w:val="000000"/>
              </w:rPr>
              <w:t>值</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分</w:t>
            </w:r>
            <w:r>
              <w:rPr>
                <w:rFonts w:hint="eastAsia" w:cs="宋体"/>
                <w:color w:val="000000"/>
              </w:rPr>
              <w:t>值</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color w:val="000000"/>
              </w:rPr>
            </w:pPr>
            <w:r>
              <w:rPr>
                <w:rFonts w:eastAsia="仿宋_GB2312"/>
                <w:color w:val="000000"/>
              </w:rPr>
              <w:t>得</w:t>
            </w:r>
            <w:r>
              <w:rPr>
                <w:rFonts w:hint="eastAsia" w:cs="宋体"/>
                <w:color w:val="000000"/>
              </w:rPr>
              <w:t>分</w:t>
            </w:r>
          </w:p>
        </w:tc>
        <w:tc>
          <w:tcPr>
            <w:tcW w:w="1401" w:type="dxa"/>
            <w:tcBorders>
              <w:top w:val="single" w:color="auto" w:sz="4" w:space="0"/>
              <w:left w:val="nil"/>
              <w:bottom w:val="single" w:color="auto" w:sz="4" w:space="0"/>
              <w:right w:val="single" w:color="auto" w:sz="4" w:space="0"/>
            </w:tcBorders>
            <w:noWrap w:val="0"/>
            <w:vAlign w:val="top"/>
          </w:tcPr>
          <w:p>
            <w:pPr>
              <w:spacing w:line="260" w:lineRule="exact"/>
              <w:jc w:val="center"/>
              <w:rPr>
                <w:color w:val="000000"/>
              </w:rPr>
            </w:pPr>
            <w:r>
              <w:rPr>
                <w:rFonts w:eastAsia="仿宋_GB2312"/>
                <w:color w:val="000000"/>
              </w:rPr>
              <w:t>偏差原</w:t>
            </w:r>
            <w:r>
              <w:rPr>
                <w:rFonts w:hint="eastAsia" w:cs="宋体"/>
                <w:color w:val="000000"/>
              </w:rPr>
              <w:t>因</w:t>
            </w:r>
          </w:p>
          <w:p>
            <w:pPr>
              <w:spacing w:line="260" w:lineRule="exact"/>
              <w:jc w:val="center"/>
              <w:rPr>
                <w:color w:val="000000"/>
              </w:rPr>
            </w:pPr>
            <w:r>
              <w:rPr>
                <w:rFonts w:eastAsia="仿宋_GB2312"/>
                <w:color w:val="000000"/>
              </w:rPr>
              <w:t>分析</w:t>
            </w:r>
            <w:r>
              <w:rPr>
                <w:rFonts w:hint="eastAsia" w:cs="宋体"/>
                <w:color w:val="000000"/>
              </w:rPr>
              <w:t>及</w:t>
            </w:r>
          </w:p>
          <w:p>
            <w:pPr>
              <w:spacing w:line="260" w:lineRule="exact"/>
              <w:jc w:val="center"/>
              <w:rPr>
                <w:rFonts w:eastAsia="仿宋_GB2312"/>
                <w:color w:val="000000"/>
              </w:rPr>
            </w:pPr>
            <w:r>
              <w:rPr>
                <w:rFonts w:eastAsia="仿宋_GB2312"/>
                <w:color w:val="000000"/>
              </w:rPr>
              <w:t>改进措</w:t>
            </w:r>
            <w:r>
              <w:rPr>
                <w:rFonts w:hint="eastAsia" w:cs="宋体"/>
                <w:color w:val="000000"/>
              </w:rPr>
              <w:t>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restart"/>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产出指</w:t>
            </w:r>
            <w:r>
              <w:rPr>
                <w:rFonts w:hint="eastAsia" w:cs="宋体"/>
              </w:rPr>
              <w:t>标</w:t>
            </w:r>
          </w:p>
          <w:p>
            <w:pPr>
              <w:spacing w:line="260" w:lineRule="exact"/>
              <w:jc w:val="center"/>
              <w:rPr>
                <w:rFonts w:eastAsia="仿宋_GB2312"/>
              </w:rPr>
            </w:pPr>
            <w:r>
              <w:rPr>
                <w:rFonts w:eastAsia="仿宋_GB2312"/>
              </w:rPr>
              <w:t>(50分)</w:t>
            </w:r>
          </w:p>
        </w:tc>
        <w:tc>
          <w:tcPr>
            <w:tcW w:w="1161" w:type="dxa"/>
            <w:vMerge w:val="restart"/>
            <w:tcBorders>
              <w:top w:val="nil"/>
              <w:left w:val="nil"/>
              <w:right w:val="single" w:color="auto" w:sz="4" w:space="0"/>
            </w:tcBorders>
            <w:noWrap w:val="0"/>
            <w:vAlign w:val="center"/>
          </w:tcPr>
          <w:p>
            <w:pPr>
              <w:spacing w:line="260" w:lineRule="exact"/>
              <w:jc w:val="center"/>
              <w:rPr>
                <w:rFonts w:hint="eastAsia" w:eastAsia="仿宋_GB2312"/>
              </w:rPr>
            </w:pPr>
            <w:r>
              <w:rPr>
                <w:rFonts w:hint="eastAsia" w:eastAsia="仿宋_GB2312"/>
              </w:rPr>
              <w:t>数量指标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提供专业的技术服务，积极推进水利项目建设</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top w:val="nil"/>
              <w:left w:val="nil"/>
              <w:bottom w:val="single" w:color="auto" w:sz="4" w:space="0"/>
              <w:right w:val="single" w:color="auto" w:sz="4" w:space="0"/>
            </w:tcBorders>
            <w:noWrap w:val="0"/>
            <w:vAlign w:val="center"/>
          </w:tcPr>
          <w:p>
            <w:pPr>
              <w:spacing w:line="260" w:lineRule="exact"/>
              <w:jc w:val="left"/>
              <w:rPr>
                <w:rFonts w:eastAsia="仿宋_GB2312"/>
              </w:rPr>
            </w:pPr>
          </w:p>
        </w:tc>
        <w:tc>
          <w:tcPr>
            <w:tcW w:w="1161" w:type="dxa"/>
            <w:vMerge w:val="continue"/>
            <w:tcBorders>
              <w:left w:val="nil"/>
              <w:right w:val="single" w:color="auto" w:sz="4" w:space="0"/>
            </w:tcBorders>
            <w:noWrap w:val="0"/>
            <w:vAlign w:val="center"/>
          </w:tcPr>
          <w:p>
            <w:pPr>
              <w:spacing w:line="260" w:lineRule="exact"/>
              <w:jc w:val="left"/>
              <w:rPr>
                <w:rFonts w:eastAsia="仿宋_GB2312"/>
              </w:rPr>
            </w:pP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下达的水利规划任务</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top w:val="nil"/>
              <w:left w:val="nil"/>
              <w:bottom w:val="single" w:color="auto" w:sz="4" w:space="0"/>
              <w:right w:val="single" w:color="auto" w:sz="4" w:space="0"/>
            </w:tcBorders>
            <w:noWrap w:val="0"/>
            <w:vAlign w:val="center"/>
          </w:tcPr>
          <w:p>
            <w:pPr>
              <w:spacing w:line="260" w:lineRule="exact"/>
              <w:jc w:val="left"/>
              <w:rPr>
                <w:rFonts w:eastAsia="仿宋_GB2312"/>
              </w:rPr>
            </w:pPr>
          </w:p>
        </w:tc>
        <w:tc>
          <w:tcPr>
            <w:tcW w:w="1161" w:type="dxa"/>
            <w:vMerge w:val="continue"/>
            <w:tcBorders>
              <w:left w:val="nil"/>
              <w:right w:val="single" w:color="auto" w:sz="4" w:space="0"/>
            </w:tcBorders>
            <w:noWrap w:val="0"/>
            <w:vAlign w:val="center"/>
          </w:tcPr>
          <w:p>
            <w:pPr>
              <w:spacing w:line="260" w:lineRule="exact"/>
              <w:jc w:val="left"/>
              <w:rPr>
                <w:rFonts w:eastAsia="仿宋_GB2312"/>
              </w:rPr>
            </w:pP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完成科研课题研究</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cs="宋体"/>
              </w:rPr>
            </w:pPr>
            <w:r>
              <w:rPr>
                <w:rFonts w:hint="eastAsia" w:cs="宋体"/>
              </w:rPr>
              <w:t>1</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cs="宋体"/>
              </w:rPr>
            </w:pPr>
            <w:r>
              <w:rPr>
                <w:rFonts w:hint="eastAsia" w:cs="宋体"/>
              </w:rPr>
              <w:t>1</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cs="宋体"/>
              </w:rPr>
            </w:pPr>
            <w:r>
              <w:rPr>
                <w:rFonts w:hint="eastAsia" w:cs="宋体"/>
              </w:rPr>
              <w:t>10</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cs="宋体"/>
              </w:rPr>
            </w:pPr>
            <w:r>
              <w:rPr>
                <w:rFonts w:hint="eastAsia" w:cs="宋体"/>
              </w:rPr>
              <w:t>10</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top w:val="nil"/>
              <w:left w:val="nil"/>
              <w:bottom w:val="single" w:color="auto" w:sz="4" w:space="0"/>
              <w:right w:val="single" w:color="auto" w:sz="4" w:space="0"/>
            </w:tcBorders>
            <w:noWrap w:val="0"/>
            <w:vAlign w:val="center"/>
          </w:tcPr>
          <w:p>
            <w:pPr>
              <w:spacing w:line="260" w:lineRule="exact"/>
              <w:jc w:val="left"/>
              <w:rPr>
                <w:rFonts w:eastAsia="仿宋_GB2312"/>
              </w:rPr>
            </w:pP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质</w:t>
            </w:r>
            <w:r>
              <w:rPr>
                <w:rFonts w:hint="eastAsia" w:cs="宋体"/>
              </w:rPr>
              <w:t>量</w:t>
            </w:r>
          </w:p>
          <w:p>
            <w:pPr>
              <w:spacing w:line="260" w:lineRule="exact"/>
              <w:jc w:val="center"/>
              <w:rPr>
                <w:rFonts w:eastAsia="仿宋_GB2312"/>
              </w:rPr>
            </w:pPr>
            <w:r>
              <w:rPr>
                <w:rFonts w:eastAsia="仿宋_GB2312"/>
              </w:rPr>
              <w:t>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工作质量合格率（%）</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3</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3</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top w:val="nil"/>
              <w:left w:val="nil"/>
              <w:bottom w:val="single" w:color="auto" w:sz="4" w:space="0"/>
              <w:right w:val="single" w:color="auto" w:sz="4" w:space="0"/>
            </w:tcBorders>
            <w:noWrap w:val="0"/>
            <w:vAlign w:val="center"/>
          </w:tcPr>
          <w:p>
            <w:pPr>
              <w:spacing w:line="260" w:lineRule="exact"/>
              <w:jc w:val="left"/>
              <w:rPr>
                <w:rFonts w:eastAsia="仿宋_GB2312"/>
              </w:rPr>
            </w:pP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时</w:t>
            </w:r>
            <w:r>
              <w:rPr>
                <w:rFonts w:hint="eastAsia" w:cs="宋体"/>
              </w:rPr>
              <w:t>效</w:t>
            </w:r>
          </w:p>
          <w:p>
            <w:pPr>
              <w:spacing w:line="260" w:lineRule="exact"/>
              <w:jc w:val="center"/>
              <w:rPr>
                <w:rFonts w:eastAsia="仿宋_GB2312"/>
              </w:rPr>
            </w:pPr>
            <w:r>
              <w:rPr>
                <w:rFonts w:eastAsia="仿宋_GB2312"/>
              </w:rPr>
              <w:t>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工作按时完成率（%）</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3</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3</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top w:val="nil"/>
              <w:left w:val="nil"/>
              <w:bottom w:val="single" w:color="auto" w:sz="4" w:space="0"/>
              <w:right w:val="single" w:color="auto" w:sz="4" w:space="0"/>
            </w:tcBorders>
            <w:noWrap w:val="0"/>
            <w:vAlign w:val="center"/>
          </w:tcPr>
          <w:p>
            <w:pPr>
              <w:spacing w:line="260" w:lineRule="exact"/>
              <w:jc w:val="left"/>
              <w:rPr>
                <w:rFonts w:eastAsia="仿宋_GB2312"/>
              </w:rPr>
            </w:pP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成</w:t>
            </w:r>
            <w:r>
              <w:rPr>
                <w:rFonts w:hint="eastAsia" w:cs="宋体"/>
              </w:rPr>
              <w:t>本</w:t>
            </w:r>
          </w:p>
          <w:p>
            <w:pPr>
              <w:spacing w:line="260" w:lineRule="exact"/>
              <w:jc w:val="center"/>
              <w:rPr>
                <w:rFonts w:eastAsia="仿宋_GB2312"/>
              </w:rPr>
            </w:pPr>
            <w:r>
              <w:rPr>
                <w:rFonts w:eastAsia="仿宋_GB2312"/>
              </w:rPr>
              <w:t>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rPr>
              <w:t>按计划资金控制率（%）</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4</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4</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restart"/>
            <w:tcBorders>
              <w:top w:val="nil"/>
              <w:left w:val="nil"/>
              <w:right w:val="single" w:color="auto" w:sz="4" w:space="0"/>
            </w:tcBorders>
            <w:noWrap w:val="0"/>
            <w:vAlign w:val="center"/>
          </w:tcPr>
          <w:p>
            <w:pPr>
              <w:spacing w:line="260" w:lineRule="exact"/>
              <w:jc w:val="center"/>
              <w:rPr>
                <w:rFonts w:eastAsia="仿宋_GB2312"/>
              </w:rPr>
            </w:pPr>
            <w:r>
              <w:rPr>
                <w:rFonts w:eastAsia="仿宋_GB2312"/>
              </w:rPr>
              <w:t>效益指</w:t>
            </w:r>
            <w:r>
              <w:rPr>
                <w:rFonts w:hint="eastAsia" w:cs="宋体"/>
              </w:rPr>
              <w:t>标</w:t>
            </w:r>
          </w:p>
          <w:p>
            <w:pPr>
              <w:spacing w:line="260" w:lineRule="exact"/>
              <w:ind w:firstLine="210" w:firstLineChars="100"/>
              <w:jc w:val="left"/>
              <w:rPr>
                <w:rFonts w:eastAsia="仿宋_GB2312"/>
              </w:rPr>
            </w:pPr>
            <w:r>
              <w:rPr>
                <w:rFonts w:eastAsia="仿宋_GB2312"/>
              </w:rPr>
              <w:t xml:space="preserve">（30分） </w:t>
            </w: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经济</w:t>
            </w:r>
            <w:r>
              <w:rPr>
                <w:rFonts w:hint="eastAsia" w:cs="宋体"/>
              </w:rPr>
              <w:t>效</w:t>
            </w:r>
          </w:p>
          <w:p>
            <w:pPr>
              <w:spacing w:line="260" w:lineRule="exact"/>
              <w:jc w:val="center"/>
              <w:rPr>
                <w:rFonts w:eastAsia="仿宋_GB2312"/>
              </w:rPr>
            </w:pPr>
            <w:r>
              <w:rPr>
                <w:rFonts w:eastAsia="仿宋_GB2312"/>
              </w:rPr>
              <w:t>益指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rPr>
            </w:pPr>
            <w:r>
              <w:rPr>
                <w:rFonts w:hint="eastAsia"/>
              </w:rPr>
              <w:t>课题推广应用实用性强，经济环保，提高效率10</w:t>
            </w:r>
          </w:p>
          <w:p>
            <w:pPr>
              <w:pStyle w:val="2"/>
            </w:pPr>
            <w:r>
              <w:rPr>
                <w:rFonts w:hint="eastAsia"/>
              </w:rPr>
              <w:t>%-25%，达到了国际领先水平</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是</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是</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left w:val="nil"/>
              <w:right w:val="single" w:color="auto" w:sz="4" w:space="0"/>
            </w:tcBorders>
            <w:noWrap w:val="0"/>
            <w:vAlign w:val="center"/>
          </w:tcPr>
          <w:p>
            <w:pPr>
              <w:spacing w:line="260" w:lineRule="exact"/>
              <w:jc w:val="left"/>
              <w:rPr>
                <w:rFonts w:eastAsia="仿宋_GB2312"/>
              </w:rPr>
            </w:pP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社会</w:t>
            </w:r>
            <w:r>
              <w:rPr>
                <w:rFonts w:hint="eastAsia" w:cs="宋体"/>
              </w:rPr>
              <w:t>效</w:t>
            </w:r>
          </w:p>
          <w:p>
            <w:pPr>
              <w:spacing w:line="260" w:lineRule="exact"/>
              <w:jc w:val="center"/>
              <w:rPr>
                <w:rFonts w:eastAsia="仿宋_GB2312"/>
              </w:rPr>
            </w:pPr>
            <w:r>
              <w:rPr>
                <w:rFonts w:eastAsia="仿宋_GB2312"/>
              </w:rPr>
              <w:t>益指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全湘西、县域水资源发展合理性提供保障，到2025年，我州经济社会发展水平相适应、人民群众的幸福获得感显著增强。</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rPr>
            </w:pPr>
            <w:r>
              <w:rPr>
                <w:rFonts w:hint="eastAsia" w:cs="宋体"/>
              </w:rPr>
              <w:t>是</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是</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left w:val="nil"/>
              <w:right w:val="single" w:color="auto" w:sz="4" w:space="0"/>
            </w:tcBorders>
            <w:noWrap w:val="0"/>
            <w:vAlign w:val="center"/>
          </w:tcPr>
          <w:p>
            <w:pPr>
              <w:spacing w:line="260" w:lineRule="exact"/>
              <w:jc w:val="left"/>
              <w:rPr>
                <w:rFonts w:eastAsia="仿宋_GB2312"/>
              </w:rPr>
            </w:pP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生态</w:t>
            </w:r>
            <w:r>
              <w:rPr>
                <w:rFonts w:hint="eastAsia" w:cs="宋体"/>
              </w:rPr>
              <w:t>效</w:t>
            </w:r>
          </w:p>
          <w:p>
            <w:pPr>
              <w:spacing w:line="260" w:lineRule="exact"/>
              <w:jc w:val="center"/>
              <w:rPr>
                <w:rFonts w:eastAsia="仿宋_GB2312"/>
              </w:rPr>
            </w:pPr>
            <w:r>
              <w:rPr>
                <w:rFonts w:eastAsia="仿宋_GB2312"/>
              </w:rPr>
              <w:t>益指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ascii="宋体" w:hAnsi="宋体" w:cs="宋体"/>
                <w:spacing w:val="9"/>
                <w:sz w:val="18"/>
                <w:szCs w:val="18"/>
              </w:rPr>
              <w:t>保护流域生态环境</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cs="宋体"/>
              </w:rPr>
              <w:t>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left w:val="nil"/>
              <w:right w:val="single" w:color="auto" w:sz="4" w:space="0"/>
            </w:tcBorders>
            <w:noWrap w:val="0"/>
            <w:vAlign w:val="center"/>
          </w:tcPr>
          <w:p>
            <w:pPr>
              <w:spacing w:line="260" w:lineRule="exact"/>
              <w:jc w:val="left"/>
              <w:rPr>
                <w:rFonts w:eastAsia="仿宋_GB2312"/>
              </w:rPr>
            </w:pPr>
          </w:p>
        </w:tc>
        <w:tc>
          <w:tcPr>
            <w:tcW w:w="1161" w:type="dxa"/>
            <w:vMerge w:val="restart"/>
            <w:tcBorders>
              <w:top w:val="nil"/>
              <w:left w:val="nil"/>
              <w:right w:val="single" w:color="auto" w:sz="4" w:space="0"/>
            </w:tcBorders>
            <w:noWrap w:val="0"/>
            <w:vAlign w:val="center"/>
          </w:tcPr>
          <w:p>
            <w:pPr>
              <w:spacing w:line="260" w:lineRule="exact"/>
              <w:jc w:val="center"/>
              <w:rPr>
                <w:rFonts w:eastAsia="仿宋_GB2312"/>
              </w:rPr>
            </w:pPr>
            <w:r>
              <w:rPr>
                <w:rFonts w:eastAsia="仿宋_GB2312"/>
              </w:rPr>
              <w:t>可持续影响指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为全州、县域防洪、用水、饮水、河库生态安全提供支撑，促进湘西州国民发展经济与社会发展稳定的长效机制（%）</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cs="宋体"/>
              </w:rPr>
              <w:t>　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cs="宋体"/>
              </w:rPr>
              <w:t>　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5</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cs="宋体"/>
              </w:rPr>
              <w:t>5</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vMerge w:val="continue"/>
            <w:tcBorders>
              <w:left w:val="nil"/>
              <w:right w:val="single" w:color="auto" w:sz="4" w:space="0"/>
            </w:tcBorders>
            <w:noWrap w:val="0"/>
            <w:vAlign w:val="center"/>
          </w:tcPr>
          <w:p>
            <w:pPr>
              <w:spacing w:line="260" w:lineRule="exact"/>
              <w:jc w:val="left"/>
              <w:rPr>
                <w:rFonts w:eastAsia="仿宋_GB2312"/>
              </w:rPr>
            </w:pPr>
          </w:p>
        </w:tc>
        <w:tc>
          <w:tcPr>
            <w:tcW w:w="1161" w:type="dxa"/>
            <w:vMerge w:val="continue"/>
            <w:tcBorders>
              <w:left w:val="nil"/>
              <w:right w:val="single" w:color="auto" w:sz="4" w:space="0"/>
            </w:tcBorders>
            <w:noWrap w:val="0"/>
            <w:vAlign w:val="center"/>
          </w:tcPr>
          <w:p>
            <w:pPr>
              <w:spacing w:line="260" w:lineRule="exact"/>
              <w:jc w:val="left"/>
              <w:rPr>
                <w:rFonts w:eastAsia="仿宋_GB2312"/>
              </w:rPr>
            </w:pP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rPr>
              <w:t>减少库内人为影响，推进系统治理，持续改善水生态</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cs="宋体"/>
              </w:rPr>
              <w:t>是</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rPr>
            </w:pPr>
            <w:r>
              <w:rPr>
                <w:rFonts w:hint="eastAsia" w:cs="宋体"/>
              </w:rPr>
              <w:t>是</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cs="宋体"/>
              </w:rPr>
              <w:t>10</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cs="宋体"/>
              </w:rPr>
              <w:t>10</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46" w:type="dxa"/>
            <w:vMerge w:val="continue"/>
            <w:tcBorders>
              <w:top w:val="nil"/>
              <w:left w:val="single" w:color="auto" w:sz="4" w:space="0"/>
              <w:bottom w:val="single" w:color="auto" w:sz="4" w:space="0"/>
              <w:right w:val="single" w:color="auto" w:sz="4" w:space="0"/>
            </w:tcBorders>
            <w:noWrap w:val="0"/>
            <w:vAlign w:val="center"/>
          </w:tcPr>
          <w:p>
            <w:pPr>
              <w:spacing w:line="260" w:lineRule="exact"/>
              <w:jc w:val="left"/>
              <w:rPr>
                <w:rFonts w:eastAsia="仿宋_GB2312"/>
              </w:rPr>
            </w:pPr>
          </w:p>
        </w:tc>
        <w:tc>
          <w:tcPr>
            <w:tcW w:w="1352"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满意</w:t>
            </w:r>
            <w:r>
              <w:rPr>
                <w:rFonts w:hint="eastAsia" w:cs="宋体"/>
              </w:rPr>
              <w:t>度</w:t>
            </w:r>
          </w:p>
          <w:p>
            <w:pPr>
              <w:spacing w:line="260" w:lineRule="exact"/>
              <w:jc w:val="center"/>
              <w:rPr>
                <w:rFonts w:eastAsia="仿宋_GB2312"/>
              </w:rPr>
            </w:pPr>
            <w:r>
              <w:rPr>
                <w:rFonts w:eastAsia="仿宋_GB2312"/>
              </w:rPr>
              <w:t>指</w:t>
            </w:r>
            <w:r>
              <w:rPr>
                <w:rFonts w:hint="eastAsia" w:cs="宋体"/>
              </w:rPr>
              <w:t>标</w:t>
            </w:r>
          </w:p>
          <w:p>
            <w:pPr>
              <w:spacing w:line="260" w:lineRule="exact"/>
              <w:jc w:val="center"/>
              <w:rPr>
                <w:rFonts w:eastAsia="仿宋_GB2312"/>
              </w:rPr>
            </w:pPr>
            <w:r>
              <w:rPr>
                <w:rFonts w:eastAsia="仿宋_GB2312"/>
              </w:rPr>
              <w:t>（10分</w:t>
            </w:r>
            <w:r>
              <w:rPr>
                <w:rFonts w:hint="eastAsia" w:cs="宋体"/>
              </w:rPr>
              <w:t>）</w:t>
            </w:r>
          </w:p>
        </w:tc>
        <w:tc>
          <w:tcPr>
            <w:tcW w:w="1161" w:type="dxa"/>
            <w:tcBorders>
              <w:top w:val="nil"/>
              <w:left w:val="nil"/>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服务对象满意度指</w:t>
            </w:r>
            <w:r>
              <w:rPr>
                <w:rFonts w:hint="eastAsia" w:cs="宋体"/>
              </w:rPr>
              <w:t>标</w:t>
            </w:r>
          </w:p>
        </w:tc>
        <w:tc>
          <w:tcPr>
            <w:tcW w:w="1222" w:type="dxa"/>
            <w:gridSpan w:val="2"/>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eastAsia="仿宋_GB2312"/>
              </w:rPr>
            </w:pPr>
            <w:r>
              <w:rPr>
                <w:rFonts w:hint="eastAsia" w:eastAsia="仿宋_GB2312"/>
              </w:rPr>
              <w:t>社会公众</w:t>
            </w:r>
            <w:r>
              <w:rPr>
                <w:rFonts w:eastAsia="仿宋_GB2312"/>
              </w:rPr>
              <w:t>满意度</w:t>
            </w:r>
            <w:r>
              <w:rPr>
                <w:rFonts w:hint="eastAsia" w:eastAsia="仿宋_GB2312"/>
              </w:rPr>
              <w:t>%</w:t>
            </w:r>
          </w:p>
        </w:tc>
        <w:tc>
          <w:tcPr>
            <w:tcW w:w="1165"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100</w:t>
            </w:r>
          </w:p>
        </w:tc>
        <w:tc>
          <w:tcPr>
            <w:tcW w:w="1104"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100</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pPr>
            <w:r>
              <w:rPr>
                <w:rFonts w:hint="eastAsia"/>
              </w:rPr>
              <w:t>10</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050"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仿宋_GB2312"/>
              </w:rPr>
            </w:pPr>
            <w:r>
              <w:rPr>
                <w:rFonts w:eastAsia="仿宋_GB2312"/>
              </w:rPr>
              <w:t>总</w:t>
            </w:r>
            <w:r>
              <w:rPr>
                <w:rFonts w:hint="eastAsia" w:cs="宋体"/>
              </w:rPr>
              <w:t>分</w:t>
            </w:r>
          </w:p>
        </w:tc>
        <w:tc>
          <w:tcPr>
            <w:tcW w:w="688" w:type="dxa"/>
            <w:tcBorders>
              <w:top w:val="single" w:color="auto" w:sz="4" w:space="0"/>
              <w:left w:val="nil"/>
              <w:bottom w:val="single" w:color="auto" w:sz="4" w:space="0"/>
              <w:right w:val="single" w:color="auto" w:sz="4" w:space="0"/>
            </w:tcBorders>
            <w:noWrap w:val="0"/>
            <w:vAlign w:val="center"/>
          </w:tcPr>
          <w:p>
            <w:pPr>
              <w:spacing w:line="260" w:lineRule="exact"/>
              <w:jc w:val="center"/>
              <w:rPr>
                <w:rFonts w:eastAsia="仿宋_GB2312"/>
              </w:rPr>
            </w:pPr>
            <w:r>
              <w:rPr>
                <w:rFonts w:hint="eastAsia" w:eastAsia="仿宋_GB2312"/>
              </w:rPr>
              <w:t>100</w:t>
            </w:r>
          </w:p>
        </w:tc>
        <w:tc>
          <w:tcPr>
            <w:tcW w:w="870"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eastAsia="仿宋_GB2312" w:cs="宋体"/>
              </w:rPr>
              <w:t>100</w:t>
            </w:r>
          </w:p>
        </w:tc>
        <w:tc>
          <w:tcPr>
            <w:tcW w:w="1401" w:type="dxa"/>
            <w:tcBorders>
              <w:top w:val="single" w:color="auto" w:sz="4" w:space="0"/>
              <w:left w:val="nil"/>
              <w:bottom w:val="single" w:color="auto" w:sz="4" w:space="0"/>
              <w:right w:val="single" w:color="auto" w:sz="4" w:space="0"/>
            </w:tcBorders>
            <w:noWrap w:val="0"/>
            <w:vAlign w:val="center"/>
          </w:tcPr>
          <w:p>
            <w:pPr>
              <w:spacing w:line="260" w:lineRule="exact"/>
              <w:jc w:val="left"/>
              <w:rPr>
                <w:rFonts w:eastAsia="仿宋_GB2312"/>
              </w:rPr>
            </w:pPr>
            <w:r>
              <w:rPr>
                <w:rFonts w:hint="eastAsia" w:cs="宋体"/>
              </w:rPr>
              <w:t>　</w:t>
            </w:r>
          </w:p>
        </w:tc>
      </w:tr>
    </w:tbl>
    <w:p>
      <w:pPr>
        <w:spacing w:before="120" w:beforeLines="50"/>
        <w:jc w:val="lef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pStyle w:val="4"/>
        <w:spacing w:before="0" w:after="0" w:line="300" w:lineRule="exact"/>
        <w:rPr>
          <w:rFonts w:hint="eastAsia" w:ascii="仿宋_GB2312" w:hAnsi="宋体" w:eastAsia="仿宋_GB2312"/>
          <w:b w:val="0"/>
          <w:bCs/>
          <w:sz w:val="18"/>
          <w:szCs w:val="18"/>
        </w:rPr>
      </w:pPr>
    </w:p>
    <w:p>
      <w:pPr>
        <w:spacing w:line="240" w:lineRule="exact"/>
        <w:rPr>
          <w:rFonts w:hint="eastAsia" w:eastAsia="仿宋_GB2312"/>
          <w:position w:val="-4"/>
          <w:sz w:val="28"/>
          <w:szCs w:val="28"/>
        </w:rPr>
      </w:pPr>
      <w:r>
        <w:rPr>
          <w:rFonts w:hint="eastAsia" w:eastAsia="仿宋_GB2312"/>
          <w:sz w:val="24"/>
        </w:rPr>
        <w:t xml:space="preserve"> </w:t>
      </w:r>
      <w:bookmarkStart w:id="0" w:name="_GoBack"/>
      <w:bookmarkEnd w:id="0"/>
    </w:p>
    <w:sectPr>
      <w:headerReference r:id="rId4" w:type="first"/>
      <w:headerReference r:id="rId3" w:type="default"/>
      <w:footerReference r:id="rId5" w:type="default"/>
      <w:footerReference r:id="rId6" w:type="even"/>
      <w:pgSz w:w="11905" w:h="16837"/>
      <w:pgMar w:top="1418" w:right="1531" w:bottom="1985" w:left="1531" w:header="720" w:footer="1701" w:gutter="0"/>
      <w:pgNumType w:fmt="numberInDash"/>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- 21 -</w:t>
    </w:r>
    <w:r>
      <w:rPr>
        <w:rFonts w:ascii="宋体" w:hAnsi="宋体"/>
        <w:sz w:val="28"/>
        <w:szCs w:val="28"/>
      </w:rPr>
      <w:fldChar w:fldCharType="end"/>
    </w:r>
  </w:p>
  <w:p>
    <w:pPr>
      <w:pStyle w:val="8"/>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27A8C"/>
    <w:multiLevelType w:val="singleLevel"/>
    <w:tmpl w:val="C1727A8C"/>
    <w:lvl w:ilvl="0" w:tentative="0">
      <w:start w:val="8"/>
      <w:numFmt w:val="chineseCounting"/>
      <w:suff w:val="nothing"/>
      <w:lvlText w:val="%1、"/>
      <w:lvlJc w:val="left"/>
      <w:rPr>
        <w:rFonts w:hint="eastAsia"/>
      </w:rPr>
    </w:lvl>
  </w:abstractNum>
  <w:abstractNum w:abstractNumId="1">
    <w:nsid w:val="C4BB3D9E"/>
    <w:multiLevelType w:val="singleLevel"/>
    <w:tmpl w:val="C4BB3D9E"/>
    <w:lvl w:ilvl="0" w:tentative="0">
      <w:start w:val="3"/>
      <w:numFmt w:val="chineseCounting"/>
      <w:suff w:val="nothing"/>
      <w:lvlText w:val="%1、"/>
      <w:lvlJc w:val="left"/>
      <w:rPr>
        <w:rFonts w:hint="eastAsia"/>
      </w:rPr>
    </w:lvl>
  </w:abstractNum>
  <w:abstractNum w:abstractNumId="2">
    <w:nsid w:val="03A2852D"/>
    <w:multiLevelType w:val="singleLevel"/>
    <w:tmpl w:val="03A2852D"/>
    <w:lvl w:ilvl="0" w:tentative="0">
      <w:start w:val="2"/>
      <w:numFmt w:val="chineseCounting"/>
      <w:suff w:val="nothing"/>
      <w:lvlText w:val="（%1）"/>
      <w:lvlJc w:val="left"/>
      <w:rPr>
        <w:rFonts w:hint="eastAsia"/>
      </w:rPr>
    </w:lvl>
  </w:abstractNum>
  <w:abstractNum w:abstractNumId="3">
    <w:nsid w:val="2C694853"/>
    <w:multiLevelType w:val="singleLevel"/>
    <w:tmpl w:val="2C694853"/>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NGQwODA1ZmYwZDY2YTc1Y2Y0NDQyM2UxMjRhZWMifQ=="/>
  </w:docVars>
  <w:rsids>
    <w:rsidRoot w:val="00C61BEB"/>
    <w:rsid w:val="000604C1"/>
    <w:rsid w:val="0009217F"/>
    <w:rsid w:val="00097EFA"/>
    <w:rsid w:val="000C38AE"/>
    <w:rsid w:val="000C6CF7"/>
    <w:rsid w:val="000E5124"/>
    <w:rsid w:val="000F1F5D"/>
    <w:rsid w:val="001321A7"/>
    <w:rsid w:val="00134E76"/>
    <w:rsid w:val="00146ADC"/>
    <w:rsid w:val="00146CDC"/>
    <w:rsid w:val="001575AB"/>
    <w:rsid w:val="001767C5"/>
    <w:rsid w:val="001D19AB"/>
    <w:rsid w:val="001D6C5A"/>
    <w:rsid w:val="00213A33"/>
    <w:rsid w:val="00217853"/>
    <w:rsid w:val="00230FDD"/>
    <w:rsid w:val="002C50CC"/>
    <w:rsid w:val="002C51E6"/>
    <w:rsid w:val="002D76CD"/>
    <w:rsid w:val="0032419E"/>
    <w:rsid w:val="003312A2"/>
    <w:rsid w:val="00334170"/>
    <w:rsid w:val="003A2D0F"/>
    <w:rsid w:val="003B51BA"/>
    <w:rsid w:val="003B7F7C"/>
    <w:rsid w:val="003F57A7"/>
    <w:rsid w:val="00434D6E"/>
    <w:rsid w:val="004607BF"/>
    <w:rsid w:val="00467A47"/>
    <w:rsid w:val="0047728D"/>
    <w:rsid w:val="004973E0"/>
    <w:rsid w:val="004A7581"/>
    <w:rsid w:val="004B5B0C"/>
    <w:rsid w:val="004D0B52"/>
    <w:rsid w:val="004D382C"/>
    <w:rsid w:val="004D48AE"/>
    <w:rsid w:val="004D6124"/>
    <w:rsid w:val="004E1CDE"/>
    <w:rsid w:val="004F100A"/>
    <w:rsid w:val="0053138C"/>
    <w:rsid w:val="00533BB2"/>
    <w:rsid w:val="00540C5C"/>
    <w:rsid w:val="00567779"/>
    <w:rsid w:val="00573E3B"/>
    <w:rsid w:val="00576DF2"/>
    <w:rsid w:val="005926EB"/>
    <w:rsid w:val="005962D9"/>
    <w:rsid w:val="005A015C"/>
    <w:rsid w:val="005B1837"/>
    <w:rsid w:val="005B22A3"/>
    <w:rsid w:val="005B498D"/>
    <w:rsid w:val="005B5BEA"/>
    <w:rsid w:val="005E472D"/>
    <w:rsid w:val="006048A0"/>
    <w:rsid w:val="00616578"/>
    <w:rsid w:val="0063799E"/>
    <w:rsid w:val="006411B1"/>
    <w:rsid w:val="0069008E"/>
    <w:rsid w:val="006C355B"/>
    <w:rsid w:val="006C4D83"/>
    <w:rsid w:val="006D4D55"/>
    <w:rsid w:val="006E54F8"/>
    <w:rsid w:val="007165EA"/>
    <w:rsid w:val="00740284"/>
    <w:rsid w:val="0074367A"/>
    <w:rsid w:val="00744FF0"/>
    <w:rsid w:val="00770220"/>
    <w:rsid w:val="007759A3"/>
    <w:rsid w:val="007765D9"/>
    <w:rsid w:val="007A5ABD"/>
    <w:rsid w:val="007A7031"/>
    <w:rsid w:val="007C478C"/>
    <w:rsid w:val="007D1A6F"/>
    <w:rsid w:val="007D659C"/>
    <w:rsid w:val="007F163D"/>
    <w:rsid w:val="007F3FE3"/>
    <w:rsid w:val="008158AD"/>
    <w:rsid w:val="00821CB1"/>
    <w:rsid w:val="0089206B"/>
    <w:rsid w:val="008A08B7"/>
    <w:rsid w:val="008B0A3F"/>
    <w:rsid w:val="008C75A2"/>
    <w:rsid w:val="008D3DD4"/>
    <w:rsid w:val="00915080"/>
    <w:rsid w:val="00923008"/>
    <w:rsid w:val="009326CE"/>
    <w:rsid w:val="00942528"/>
    <w:rsid w:val="0096178E"/>
    <w:rsid w:val="009664A6"/>
    <w:rsid w:val="00974FF0"/>
    <w:rsid w:val="009774FC"/>
    <w:rsid w:val="00990510"/>
    <w:rsid w:val="00992EA8"/>
    <w:rsid w:val="00A0344B"/>
    <w:rsid w:val="00A03455"/>
    <w:rsid w:val="00A0354C"/>
    <w:rsid w:val="00A17EBE"/>
    <w:rsid w:val="00A22C2A"/>
    <w:rsid w:val="00A446C8"/>
    <w:rsid w:val="00A618CC"/>
    <w:rsid w:val="00A852CA"/>
    <w:rsid w:val="00AA3B7A"/>
    <w:rsid w:val="00AA7C4F"/>
    <w:rsid w:val="00AB6BB4"/>
    <w:rsid w:val="00B04F1A"/>
    <w:rsid w:val="00B13F65"/>
    <w:rsid w:val="00B17EBC"/>
    <w:rsid w:val="00B21492"/>
    <w:rsid w:val="00B45440"/>
    <w:rsid w:val="00B52953"/>
    <w:rsid w:val="00BC0FD9"/>
    <w:rsid w:val="00BD138E"/>
    <w:rsid w:val="00BF6D14"/>
    <w:rsid w:val="00C12497"/>
    <w:rsid w:val="00C25E67"/>
    <w:rsid w:val="00C32808"/>
    <w:rsid w:val="00C46FC0"/>
    <w:rsid w:val="00C57E95"/>
    <w:rsid w:val="00C61BEB"/>
    <w:rsid w:val="00C72CFF"/>
    <w:rsid w:val="00C851E5"/>
    <w:rsid w:val="00CA5350"/>
    <w:rsid w:val="00CB077E"/>
    <w:rsid w:val="00CC287E"/>
    <w:rsid w:val="00CC2CBA"/>
    <w:rsid w:val="00CC5ADE"/>
    <w:rsid w:val="00CC68B6"/>
    <w:rsid w:val="00CE0CB7"/>
    <w:rsid w:val="00D018C5"/>
    <w:rsid w:val="00D01C49"/>
    <w:rsid w:val="00D15EAC"/>
    <w:rsid w:val="00D2711C"/>
    <w:rsid w:val="00D351F8"/>
    <w:rsid w:val="00D54D55"/>
    <w:rsid w:val="00D66649"/>
    <w:rsid w:val="00D851D3"/>
    <w:rsid w:val="00D8688B"/>
    <w:rsid w:val="00DB1EB9"/>
    <w:rsid w:val="00E3236C"/>
    <w:rsid w:val="00E40AEF"/>
    <w:rsid w:val="00E46078"/>
    <w:rsid w:val="00E612CC"/>
    <w:rsid w:val="00EA46CE"/>
    <w:rsid w:val="00EA64E4"/>
    <w:rsid w:val="00EB112A"/>
    <w:rsid w:val="00EC4B89"/>
    <w:rsid w:val="00EE5B25"/>
    <w:rsid w:val="00EF39DD"/>
    <w:rsid w:val="00F02FD6"/>
    <w:rsid w:val="00F54E3E"/>
    <w:rsid w:val="00F7731A"/>
    <w:rsid w:val="00F92054"/>
    <w:rsid w:val="00FA541A"/>
    <w:rsid w:val="00FA6405"/>
    <w:rsid w:val="00FD7650"/>
    <w:rsid w:val="00FF437A"/>
    <w:rsid w:val="01644EF8"/>
    <w:rsid w:val="0228117C"/>
    <w:rsid w:val="024664E3"/>
    <w:rsid w:val="02A35AD5"/>
    <w:rsid w:val="02B80216"/>
    <w:rsid w:val="02CB7F4E"/>
    <w:rsid w:val="02DA1F72"/>
    <w:rsid w:val="02EE093F"/>
    <w:rsid w:val="034A63F0"/>
    <w:rsid w:val="03732D67"/>
    <w:rsid w:val="04A95669"/>
    <w:rsid w:val="05915D26"/>
    <w:rsid w:val="07CA3A2D"/>
    <w:rsid w:val="08376635"/>
    <w:rsid w:val="083B791F"/>
    <w:rsid w:val="09A45256"/>
    <w:rsid w:val="09DD525E"/>
    <w:rsid w:val="0B712531"/>
    <w:rsid w:val="0CF57B7D"/>
    <w:rsid w:val="0D274938"/>
    <w:rsid w:val="0D2F5342"/>
    <w:rsid w:val="0DB03822"/>
    <w:rsid w:val="0DC124A5"/>
    <w:rsid w:val="0DCB48CE"/>
    <w:rsid w:val="0EA50918"/>
    <w:rsid w:val="0FA80BB7"/>
    <w:rsid w:val="0FE73EE9"/>
    <w:rsid w:val="10285D2F"/>
    <w:rsid w:val="10A411E9"/>
    <w:rsid w:val="11FC0C51"/>
    <w:rsid w:val="1224655D"/>
    <w:rsid w:val="129171DF"/>
    <w:rsid w:val="12CD73C6"/>
    <w:rsid w:val="13F32A82"/>
    <w:rsid w:val="145C4EA5"/>
    <w:rsid w:val="146C5C55"/>
    <w:rsid w:val="14FF22A9"/>
    <w:rsid w:val="16131999"/>
    <w:rsid w:val="16691AFB"/>
    <w:rsid w:val="16783AEC"/>
    <w:rsid w:val="16E424EA"/>
    <w:rsid w:val="173019CB"/>
    <w:rsid w:val="17A76BD9"/>
    <w:rsid w:val="17BA39FD"/>
    <w:rsid w:val="18196276"/>
    <w:rsid w:val="18643F85"/>
    <w:rsid w:val="187B74BA"/>
    <w:rsid w:val="189C55AE"/>
    <w:rsid w:val="18C32478"/>
    <w:rsid w:val="18DB531B"/>
    <w:rsid w:val="19025535"/>
    <w:rsid w:val="192B6FBD"/>
    <w:rsid w:val="19706CFD"/>
    <w:rsid w:val="19834227"/>
    <w:rsid w:val="19FD2C86"/>
    <w:rsid w:val="1A3500D6"/>
    <w:rsid w:val="1A651C96"/>
    <w:rsid w:val="1A6A4DF6"/>
    <w:rsid w:val="1A6C2303"/>
    <w:rsid w:val="1A8011C2"/>
    <w:rsid w:val="1A9E14E5"/>
    <w:rsid w:val="1AF3667D"/>
    <w:rsid w:val="1B9A61FB"/>
    <w:rsid w:val="1C123FA9"/>
    <w:rsid w:val="1C8031F3"/>
    <w:rsid w:val="1D3F35B6"/>
    <w:rsid w:val="1D752B34"/>
    <w:rsid w:val="1D8E297D"/>
    <w:rsid w:val="1E702DE0"/>
    <w:rsid w:val="1F15073F"/>
    <w:rsid w:val="21644F6D"/>
    <w:rsid w:val="216A5508"/>
    <w:rsid w:val="219A64A1"/>
    <w:rsid w:val="22C5630B"/>
    <w:rsid w:val="22D4654E"/>
    <w:rsid w:val="22FD5F68"/>
    <w:rsid w:val="23D52D24"/>
    <w:rsid w:val="2418349F"/>
    <w:rsid w:val="24A70C70"/>
    <w:rsid w:val="24D75666"/>
    <w:rsid w:val="25D60939"/>
    <w:rsid w:val="27182EAE"/>
    <w:rsid w:val="27914A0E"/>
    <w:rsid w:val="27FB651D"/>
    <w:rsid w:val="29225792"/>
    <w:rsid w:val="2BBF3ABF"/>
    <w:rsid w:val="2BDB0342"/>
    <w:rsid w:val="2D040005"/>
    <w:rsid w:val="2DBD0B8D"/>
    <w:rsid w:val="2DCC054E"/>
    <w:rsid w:val="2DFD3D1E"/>
    <w:rsid w:val="2E074505"/>
    <w:rsid w:val="2E0C7407"/>
    <w:rsid w:val="2E6D21FF"/>
    <w:rsid w:val="2EA52541"/>
    <w:rsid w:val="2F074309"/>
    <w:rsid w:val="2F6B3D97"/>
    <w:rsid w:val="2F7D3386"/>
    <w:rsid w:val="2FDF15B3"/>
    <w:rsid w:val="308E6333"/>
    <w:rsid w:val="30D40FEC"/>
    <w:rsid w:val="31715740"/>
    <w:rsid w:val="3172398E"/>
    <w:rsid w:val="31BD5573"/>
    <w:rsid w:val="31F249B3"/>
    <w:rsid w:val="33574C5F"/>
    <w:rsid w:val="33CB52EE"/>
    <w:rsid w:val="34446252"/>
    <w:rsid w:val="35BF0A3F"/>
    <w:rsid w:val="35D501BC"/>
    <w:rsid w:val="371723E7"/>
    <w:rsid w:val="37723E4B"/>
    <w:rsid w:val="381E341D"/>
    <w:rsid w:val="392E53D2"/>
    <w:rsid w:val="393578EF"/>
    <w:rsid w:val="39527B78"/>
    <w:rsid w:val="397B4799"/>
    <w:rsid w:val="39F942C0"/>
    <w:rsid w:val="3A105C66"/>
    <w:rsid w:val="3B9C07E7"/>
    <w:rsid w:val="3C6D490A"/>
    <w:rsid w:val="3D153144"/>
    <w:rsid w:val="3DF24001"/>
    <w:rsid w:val="3EED6D14"/>
    <w:rsid w:val="3F480AF1"/>
    <w:rsid w:val="3F7F0017"/>
    <w:rsid w:val="3F980BD8"/>
    <w:rsid w:val="401161BA"/>
    <w:rsid w:val="4038621E"/>
    <w:rsid w:val="40C031A5"/>
    <w:rsid w:val="41FD5EFD"/>
    <w:rsid w:val="422F4FBF"/>
    <w:rsid w:val="42526D83"/>
    <w:rsid w:val="438C2565"/>
    <w:rsid w:val="43E709C0"/>
    <w:rsid w:val="44E01144"/>
    <w:rsid w:val="451E098A"/>
    <w:rsid w:val="45297D20"/>
    <w:rsid w:val="454B280D"/>
    <w:rsid w:val="45941F22"/>
    <w:rsid w:val="45C5603F"/>
    <w:rsid w:val="4616441B"/>
    <w:rsid w:val="462C37BC"/>
    <w:rsid w:val="46AC2E1C"/>
    <w:rsid w:val="470D671B"/>
    <w:rsid w:val="474216E9"/>
    <w:rsid w:val="477A21FC"/>
    <w:rsid w:val="47C06F1E"/>
    <w:rsid w:val="47C22536"/>
    <w:rsid w:val="489D100D"/>
    <w:rsid w:val="48D03190"/>
    <w:rsid w:val="49093E61"/>
    <w:rsid w:val="4A4A6F73"/>
    <w:rsid w:val="4AA3031B"/>
    <w:rsid w:val="4ABF170F"/>
    <w:rsid w:val="4C2D03C3"/>
    <w:rsid w:val="4C7531DC"/>
    <w:rsid w:val="4D141011"/>
    <w:rsid w:val="4D41465D"/>
    <w:rsid w:val="4E4A08C1"/>
    <w:rsid w:val="4E7B76FB"/>
    <w:rsid w:val="4F073CFD"/>
    <w:rsid w:val="4F0E3A8E"/>
    <w:rsid w:val="4F421C7D"/>
    <w:rsid w:val="4F924FFF"/>
    <w:rsid w:val="50D21A70"/>
    <w:rsid w:val="51825244"/>
    <w:rsid w:val="540D198B"/>
    <w:rsid w:val="54580729"/>
    <w:rsid w:val="550136DC"/>
    <w:rsid w:val="5516017D"/>
    <w:rsid w:val="55A214CB"/>
    <w:rsid w:val="565B30A5"/>
    <w:rsid w:val="573B036F"/>
    <w:rsid w:val="57B17743"/>
    <w:rsid w:val="585F53CD"/>
    <w:rsid w:val="58966169"/>
    <w:rsid w:val="59C73D1B"/>
    <w:rsid w:val="59D63A14"/>
    <w:rsid w:val="59FC6C47"/>
    <w:rsid w:val="5A596039"/>
    <w:rsid w:val="5AAB1A45"/>
    <w:rsid w:val="5D613768"/>
    <w:rsid w:val="5D9A0B96"/>
    <w:rsid w:val="5E1E3288"/>
    <w:rsid w:val="5E78467F"/>
    <w:rsid w:val="5EBD77B5"/>
    <w:rsid w:val="5F7E34EF"/>
    <w:rsid w:val="61F617F3"/>
    <w:rsid w:val="62330FCD"/>
    <w:rsid w:val="623954AB"/>
    <w:rsid w:val="62D4454A"/>
    <w:rsid w:val="62DD6DF7"/>
    <w:rsid w:val="636C365E"/>
    <w:rsid w:val="63C82F8A"/>
    <w:rsid w:val="64A4075E"/>
    <w:rsid w:val="651009B6"/>
    <w:rsid w:val="66A216E8"/>
    <w:rsid w:val="6712157A"/>
    <w:rsid w:val="67743DFA"/>
    <w:rsid w:val="6821710D"/>
    <w:rsid w:val="68273E9B"/>
    <w:rsid w:val="692D5424"/>
    <w:rsid w:val="69A55B1C"/>
    <w:rsid w:val="6AEB34A6"/>
    <w:rsid w:val="6AF4074E"/>
    <w:rsid w:val="6C3A6F44"/>
    <w:rsid w:val="6C3F2A25"/>
    <w:rsid w:val="6CE95D1F"/>
    <w:rsid w:val="6CF6208A"/>
    <w:rsid w:val="6EB73CC3"/>
    <w:rsid w:val="6EFF5CCE"/>
    <w:rsid w:val="6F1725B0"/>
    <w:rsid w:val="6F992E66"/>
    <w:rsid w:val="712911A4"/>
    <w:rsid w:val="712A3107"/>
    <w:rsid w:val="713B5568"/>
    <w:rsid w:val="719C6583"/>
    <w:rsid w:val="71E77D81"/>
    <w:rsid w:val="72247DF5"/>
    <w:rsid w:val="722F2A14"/>
    <w:rsid w:val="72A6661E"/>
    <w:rsid w:val="72C1062F"/>
    <w:rsid w:val="72CF480B"/>
    <w:rsid w:val="72DD3187"/>
    <w:rsid w:val="737E4E4D"/>
    <w:rsid w:val="73A62BBC"/>
    <w:rsid w:val="73CB07F7"/>
    <w:rsid w:val="74292246"/>
    <w:rsid w:val="742F27BB"/>
    <w:rsid w:val="74473E6A"/>
    <w:rsid w:val="74E30DA3"/>
    <w:rsid w:val="757A309C"/>
    <w:rsid w:val="762C6ED1"/>
    <w:rsid w:val="76383A07"/>
    <w:rsid w:val="76D237D0"/>
    <w:rsid w:val="77775AB5"/>
    <w:rsid w:val="788F6FF4"/>
    <w:rsid w:val="78C94F9D"/>
    <w:rsid w:val="78EA46F4"/>
    <w:rsid w:val="79F20909"/>
    <w:rsid w:val="7A534AFD"/>
    <w:rsid w:val="7A9A22C4"/>
    <w:rsid w:val="7AD57C30"/>
    <w:rsid w:val="7B62386D"/>
    <w:rsid w:val="7BAD3A8C"/>
    <w:rsid w:val="7C137591"/>
    <w:rsid w:val="7C5C650E"/>
    <w:rsid w:val="7C836D72"/>
    <w:rsid w:val="7CD42548"/>
    <w:rsid w:val="7CE05138"/>
    <w:rsid w:val="7D2E34B0"/>
    <w:rsid w:val="7D3927C2"/>
    <w:rsid w:val="7D456D0C"/>
    <w:rsid w:val="7D5B3117"/>
    <w:rsid w:val="7D752EE0"/>
    <w:rsid w:val="7D8E3E2A"/>
    <w:rsid w:val="7DBD5974"/>
    <w:rsid w:val="7E5003AF"/>
    <w:rsid w:val="7E5C6FF8"/>
    <w:rsid w:val="7F86217D"/>
    <w:rsid w:val="7FAA66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szCs w:val="21"/>
    </w:rPr>
  </w:style>
  <w:style w:type="character" w:default="1" w:styleId="14">
    <w:name w:val="Default Paragraph Font"/>
    <w:unhideWhenUsed/>
    <w:uiPriority w:val="1"/>
  </w:style>
  <w:style w:type="table" w:default="1" w:styleId="12">
    <w:name w:val="Normal Table"/>
    <w:unhideWhenUsed/>
    <w:uiPriority w:val="99"/>
    <w:tblPr>
      <w:tblCellMar>
        <w:top w:w="0" w:type="dxa"/>
        <w:left w:w="108" w:type="dxa"/>
        <w:bottom w:w="0" w:type="dxa"/>
        <w:right w:w="108" w:type="dxa"/>
      </w:tblCellMar>
    </w:tblPr>
  </w:style>
  <w:style w:type="paragraph" w:customStyle="1" w:styleId="2">
    <w:name w:val="BodyText"/>
    <w:basedOn w:val="1"/>
    <w:next w:val="3"/>
    <w:qFormat/>
    <w:uiPriority w:val="0"/>
    <w:pPr>
      <w:jc w:val="both"/>
      <w:textAlignment w:val="baseline"/>
    </w:pPr>
  </w:style>
  <w:style w:type="paragraph" w:customStyle="1" w:styleId="3">
    <w:name w:val="UserStyle_0"/>
    <w:basedOn w:val="1"/>
    <w:qFormat/>
    <w:uiPriority w:val="0"/>
    <w:pPr>
      <w:spacing w:after="120"/>
      <w:ind w:firstLine="420" w:firstLineChars="100"/>
      <w:jc w:val="both"/>
      <w:textAlignment w:val="baseline"/>
    </w:pPr>
  </w:style>
  <w:style w:type="paragraph" w:styleId="5">
    <w:name w:val="Body Text Indent"/>
    <w:basedOn w:val="1"/>
    <w:qFormat/>
    <w:uiPriority w:val="0"/>
    <w:pPr>
      <w:ind w:firstLine="200" w:firstLineChars="200"/>
    </w:pPr>
  </w:style>
  <w:style w:type="paragraph" w:styleId="6">
    <w:name w:val="Date"/>
    <w:basedOn w:val="1"/>
    <w:next w:val="1"/>
    <w:link w:val="16"/>
    <w:uiPriority w:val="0"/>
    <w:pPr>
      <w:ind w:left="100" w:leftChars="2500"/>
    </w:pPr>
    <w:rPr>
      <w:rFonts w:eastAsia="仿宋_GB2312"/>
      <w:kern w:val="0"/>
      <w:sz w:val="28"/>
    </w:rPr>
  </w:style>
  <w:style w:type="paragraph" w:styleId="7">
    <w:name w:val="Balloon Text"/>
    <w:basedOn w:val="1"/>
    <w:semiHidden/>
    <w:uiPriority w:val="0"/>
    <w:rPr>
      <w:sz w:val="18"/>
      <w:szCs w:val="18"/>
    </w:rPr>
  </w:style>
  <w:style w:type="paragraph" w:styleId="8">
    <w:name w:val="footer"/>
    <w:basedOn w:val="1"/>
    <w:link w:val="17"/>
    <w:uiPriority w:val="0"/>
    <w:pPr>
      <w:tabs>
        <w:tab w:val="center" w:pos="4153"/>
        <w:tab w:val="right" w:pos="8306"/>
      </w:tabs>
      <w:snapToGrid w:val="0"/>
      <w:jc w:val="left"/>
    </w:pPr>
    <w:rPr>
      <w:kern w:val="0"/>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5"/>
    <w:qFormat/>
    <w:uiPriority w:val="0"/>
    <w:pPr>
      <w:jc w:val="left"/>
    </w:pPr>
    <w:rPr>
      <w:sz w:val="32"/>
    </w:rPr>
  </w:style>
  <w:style w:type="table" w:styleId="13">
    <w:name w:val="Table Grid"/>
    <w:basedOn w:val="12"/>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customStyle="1" w:styleId="16">
    <w:name w:val="日期 Char"/>
    <w:link w:val="6"/>
    <w:uiPriority w:val="0"/>
    <w:rPr>
      <w:rFonts w:ascii="Times New Roman" w:hAnsi="Times New Roman" w:eastAsia="仿宋_GB2312" w:cs="Times New Roman"/>
      <w:sz w:val="28"/>
      <w:szCs w:val="24"/>
    </w:rPr>
  </w:style>
  <w:style w:type="character" w:customStyle="1" w:styleId="17">
    <w:name w:val="页脚 Char"/>
    <w:link w:val="8"/>
    <w:uiPriority w:val="0"/>
    <w:rPr>
      <w:rFonts w:ascii="Times New Roman" w:hAnsi="Times New Roman" w:eastAsia="宋体" w:cs="Times New Roman"/>
      <w:sz w:val="18"/>
      <w:szCs w:val="18"/>
    </w:rPr>
  </w:style>
  <w:style w:type="character" w:customStyle="1" w:styleId="18">
    <w:name w:val="页眉 Char"/>
    <w:link w:val="9"/>
    <w:uiPriority w:val="0"/>
    <w:rPr>
      <w:rFonts w:ascii="Times New Roman" w:hAnsi="Times New Roman" w:eastAsia="宋体" w:cs="Times New Roman"/>
      <w:sz w:val="18"/>
      <w:szCs w:val="18"/>
    </w:rPr>
  </w:style>
  <w:style w:type="character" w:customStyle="1" w:styleId="19">
    <w:name w:val="NormalCharacter"/>
    <w:qFormat/>
    <w:uiPriority w:val="0"/>
    <w:rPr>
      <w:rFonts w:ascii="Times New Roman" w:hAnsi="Times New Roman"/>
      <w:kern w:val="2"/>
      <w:sz w:val="21"/>
      <w:szCs w:val="24"/>
      <w:lang w:val="en-US" w:eastAsia="zh-CN" w:bidi="ar-SA"/>
    </w:rPr>
  </w:style>
  <w:style w:type="paragraph" w:customStyle="1" w:styleId="20">
    <w:name w:val="List Paragraph1"/>
    <w:basedOn w:val="1"/>
    <w:qFormat/>
    <w:uiPriority w:val="0"/>
    <w:pPr>
      <w:ind w:firstLine="420" w:firstLineChars="200"/>
    </w:pPr>
    <w:rPr>
      <w:rFonts w:ascii="Calibri" w:hAnsi="Calibri"/>
      <w:szCs w:val="21"/>
    </w:rPr>
  </w:style>
  <w:style w:type="paragraph" w:styleId="2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6682</Words>
  <Characters>7198</Characters>
  <Lines>69</Lines>
  <Paragraphs>19</Paragraphs>
  <TotalTime>29</TotalTime>
  <ScaleCrop>false</ScaleCrop>
  <LinksUpToDate>false</LinksUpToDate>
  <CharactersWithSpaces>7658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2022-05-20T03:42:00Z</dcterms:created>
  <dc:creator>朱静 172.16.14.222</dc:creator>
  <cp:lastModifiedBy>Administrator</cp:lastModifiedBy>
  <cp:lastPrinted>2022-05-20T01:08:00Z</cp:lastPrinted>
  <dcterms:modified xsi:type="dcterms:W3CDTF">2024-06-19T02:22:47Z</dcterms:modified>
  <dc:title>湘西土家族苗族自治州财政局发文（函）稿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9D773ED5F83240A284F7672F2027E9EA_13</vt:lpwstr>
  </property>
</Properties>
</file>